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6ADC4" w14:textId="347401C3" w:rsidR="00094EF0" w:rsidRPr="00094EF0" w:rsidRDefault="00094EF0" w:rsidP="00245618">
      <w:pPr>
        <w:pStyle w:val="Heading1"/>
      </w:pPr>
      <w:r w:rsidRPr="00094EF0">
        <w:t xml:space="preserve">Agenda Item </w:t>
      </w:r>
      <w:r w:rsidR="4A9523FA">
        <w:t>6</w:t>
      </w:r>
      <w:r>
        <w:t xml:space="preserve">: </w:t>
      </w:r>
      <w:r w:rsidR="7366CA83">
        <w:t>Guidance on c</w:t>
      </w:r>
      <w:r w:rsidR="005273FE">
        <w:t>onsent duration</w:t>
      </w:r>
    </w:p>
    <w:p w14:paraId="53C4F665" w14:textId="77777777" w:rsidR="00094EF0" w:rsidRPr="00094EF0" w:rsidRDefault="00094EF0" w:rsidP="00245618">
      <w:pPr>
        <w:pStyle w:val="Heading2"/>
      </w:pPr>
      <w:r w:rsidRPr="00094EF0">
        <w:t>Purpose</w:t>
      </w:r>
    </w:p>
    <w:p w14:paraId="20DD3084" w14:textId="197AF8A7" w:rsidR="00094EF0" w:rsidRDefault="005273FE" w:rsidP="005273FE">
      <w:pPr>
        <w:pStyle w:val="Numberedparagraph"/>
      </w:pPr>
      <w:r>
        <w:t>The purpose of this paper is to seek guidance from councillors on a revised approach to managing consent duration in the LWRP.</w:t>
      </w:r>
    </w:p>
    <w:p w14:paraId="6E5DB44F" w14:textId="5EE8AABE" w:rsidR="005273FE" w:rsidRPr="00094EF0" w:rsidRDefault="005273FE" w:rsidP="005273FE">
      <w:pPr>
        <w:pStyle w:val="Heading2"/>
      </w:pPr>
      <w:r>
        <w:t>Background</w:t>
      </w:r>
    </w:p>
    <w:p w14:paraId="08AB8353" w14:textId="0805CDB7" w:rsidR="007E02C6" w:rsidRDefault="0014246F" w:rsidP="00201ED5">
      <w:pPr>
        <w:numPr>
          <w:ilvl w:val="0"/>
          <w:numId w:val="5"/>
        </w:numPr>
        <w:ind w:left="567" w:hanging="567"/>
      </w:pPr>
      <w:r>
        <w:t xml:space="preserve">Resource consents are granted for a set period of time (known as their duration) after which time they expire. </w:t>
      </w:r>
      <w:r w:rsidR="007E02C6">
        <w:t>The RMA</w:t>
      </w:r>
      <w:r w:rsidR="002510D1">
        <w:t xml:space="preserve"> </w:t>
      </w:r>
      <w:r w:rsidR="007E02C6">
        <w:t>sets different maximum durations for different types of consents:</w:t>
      </w:r>
    </w:p>
    <w:p w14:paraId="25330335" w14:textId="2C989743" w:rsidR="007E02C6" w:rsidRDefault="007E02C6" w:rsidP="007E02C6">
      <w:pPr>
        <w:pStyle w:val="Sub-numberedpara1"/>
      </w:pPr>
      <w:r>
        <w:t>Land use consents and subdivision consents: unlimited.</w:t>
      </w:r>
    </w:p>
    <w:p w14:paraId="739201BB" w14:textId="60B38ED2" w:rsidR="007E02C6" w:rsidRDefault="007E02C6" w:rsidP="007E02C6">
      <w:pPr>
        <w:pStyle w:val="Sub-numberedpara1"/>
      </w:pPr>
      <w:r>
        <w:t>Discharge</w:t>
      </w:r>
      <w:r w:rsidR="0014246F">
        <w:t xml:space="preserve"> and </w:t>
      </w:r>
      <w:r>
        <w:t>water permits</w:t>
      </w:r>
      <w:r w:rsidR="0014246F">
        <w:t>, and coastal permits for aquaculture</w:t>
      </w:r>
      <w:r>
        <w:t>: 35 years.</w:t>
      </w:r>
    </w:p>
    <w:p w14:paraId="2244CA28" w14:textId="00A90632" w:rsidR="007E02C6" w:rsidRDefault="007E02C6" w:rsidP="007E02C6">
      <w:pPr>
        <w:pStyle w:val="Sub-numberedpara1"/>
      </w:pPr>
      <w:r>
        <w:t>All other coastal permits: unlimited.</w:t>
      </w:r>
    </w:p>
    <w:p w14:paraId="37CB34ED" w14:textId="592BC035" w:rsidR="007E02C6" w:rsidRDefault="00652832" w:rsidP="00201ED5">
      <w:pPr>
        <w:numPr>
          <w:ilvl w:val="0"/>
          <w:numId w:val="5"/>
        </w:numPr>
        <w:ind w:left="567" w:hanging="567"/>
      </w:pPr>
      <w:r>
        <w:t>A</w:t>
      </w:r>
      <w:r w:rsidR="00733ED3">
        <w:t>l</w:t>
      </w:r>
      <w:r>
        <w:t>though consents can</w:t>
      </w:r>
      <w:r w:rsidR="007E02C6">
        <w:t xml:space="preserve"> be granted for </w:t>
      </w:r>
      <w:r w:rsidR="00461D20">
        <w:t>the maximum allowed by the RMA</w:t>
      </w:r>
      <w:r>
        <w:t xml:space="preserve">, this has not </w:t>
      </w:r>
      <w:r w:rsidR="001C68C9">
        <w:t>always</w:t>
      </w:r>
      <w:r>
        <w:t xml:space="preserve"> been </w:t>
      </w:r>
      <w:r w:rsidR="008C39EA">
        <w:t>standard practice in consenting</w:t>
      </w:r>
      <w:r w:rsidR="007E02C6">
        <w:t xml:space="preserve">. Over the past </w:t>
      </w:r>
      <w:r w:rsidR="007F169D">
        <w:t>decade or so</w:t>
      </w:r>
      <w:r w:rsidR="00496386">
        <w:t xml:space="preserve"> in particular</w:t>
      </w:r>
      <w:r w:rsidR="007E02C6">
        <w:t xml:space="preserve">, there has been a trend </w:t>
      </w:r>
      <w:r w:rsidR="00461D20">
        <w:t xml:space="preserve">in practice towards shorter durations than the RMA maximums. This has come about </w:t>
      </w:r>
      <w:r w:rsidR="007F169D">
        <w:t xml:space="preserve">partly </w:t>
      </w:r>
      <w:r w:rsidR="00461D20">
        <w:t>due to increased demand for resources, as well as regulatory uncertainty (for example, in advance of changes to legislation or national policy statements).</w:t>
      </w:r>
      <w:r w:rsidR="00CA4CA0">
        <w:t xml:space="preserve"> It has also been used by some councils in areas where there are environmental issues to address, for example degraded water quality</w:t>
      </w:r>
      <w:r w:rsidR="0057592B">
        <w:t>, that require improvements over time.</w:t>
      </w:r>
    </w:p>
    <w:p w14:paraId="50AEBA01" w14:textId="68E35FA1" w:rsidR="00461D20" w:rsidRDefault="00461D20" w:rsidP="00201ED5">
      <w:pPr>
        <w:numPr>
          <w:ilvl w:val="0"/>
          <w:numId w:val="5"/>
        </w:numPr>
        <w:ind w:left="567" w:hanging="567"/>
      </w:pPr>
      <w:r>
        <w:t xml:space="preserve">The </w:t>
      </w:r>
      <w:r w:rsidR="000955FF">
        <w:t>Water Plan</w:t>
      </w:r>
      <w:r>
        <w:t xml:space="preserve"> did not contain any specific direction on consent duration until Plan Changes 7 and 8 were introduced. Both included maximum durations for specific types of consents in order to enable a transition from the current planning framework to the new </w:t>
      </w:r>
      <w:r w:rsidR="006C0591">
        <w:t>LWRP:</w:t>
      </w:r>
    </w:p>
    <w:p w14:paraId="709605BC" w14:textId="5F7D29BD" w:rsidR="00B701EF" w:rsidRDefault="00B701EF" w:rsidP="00B701EF">
      <w:pPr>
        <w:pStyle w:val="Sub-numberedpara1"/>
      </w:pPr>
      <w:r>
        <w:t xml:space="preserve">Water permits are limited to a duration of </w:t>
      </w:r>
      <w:r w:rsidR="00B2419F">
        <w:t>six years, and</w:t>
      </w:r>
    </w:p>
    <w:p w14:paraId="0FD34E65" w14:textId="6C209604" w:rsidR="00B2419F" w:rsidRDefault="00B2419F" w:rsidP="00B701EF">
      <w:pPr>
        <w:pStyle w:val="Sub-numberedpara1"/>
      </w:pPr>
      <w:r>
        <w:t>Discharge permits for animal effluent are limited to a duration of ten years.</w:t>
      </w:r>
    </w:p>
    <w:p w14:paraId="30399D60" w14:textId="03B20E12" w:rsidR="003C5596" w:rsidRDefault="00EB74FB" w:rsidP="00201ED5">
      <w:pPr>
        <w:numPr>
          <w:ilvl w:val="0"/>
          <w:numId w:val="5"/>
        </w:numPr>
        <w:ind w:left="567" w:hanging="567"/>
      </w:pPr>
      <w:r>
        <w:t xml:space="preserve">For all other activities, </w:t>
      </w:r>
      <w:r w:rsidR="00930DFD">
        <w:t>t</w:t>
      </w:r>
      <w:r w:rsidR="003C5596">
        <w:t xml:space="preserve">here is policy direction on the types of matters to be </w:t>
      </w:r>
      <w:proofErr w:type="gramStart"/>
      <w:r w:rsidR="003C5596">
        <w:t>taken into account</w:t>
      </w:r>
      <w:proofErr w:type="gramEnd"/>
      <w:r w:rsidR="003C5596">
        <w:t xml:space="preserve"> when considering applications, </w:t>
      </w:r>
      <w:r w:rsidR="00930DFD">
        <w:t xml:space="preserve">but no specific direction on the duration of consents. </w:t>
      </w:r>
      <w:r w:rsidR="003C5596">
        <w:t xml:space="preserve"> </w:t>
      </w:r>
    </w:p>
    <w:p w14:paraId="7B4F9181" w14:textId="7C4C3E0A" w:rsidR="00201ED5" w:rsidRPr="00201ED5" w:rsidRDefault="00201ED5" w:rsidP="005273FE">
      <w:pPr>
        <w:pStyle w:val="Heading2"/>
      </w:pPr>
      <w:r w:rsidRPr="00201ED5">
        <w:t xml:space="preserve">Draft provisions </w:t>
      </w:r>
    </w:p>
    <w:p w14:paraId="061DC056" w14:textId="1021AA59" w:rsidR="00485820" w:rsidRDefault="00485820" w:rsidP="00201ED5">
      <w:pPr>
        <w:numPr>
          <w:ilvl w:val="0"/>
          <w:numId w:val="5"/>
        </w:numPr>
        <w:ind w:left="567" w:hanging="567"/>
      </w:pPr>
      <w:r>
        <w:t>In 2023, the RMA was amended by the previous government to restrict the duration of certain types of resource consents, including water and discharge permits, in order to facilitate implementation of the NPSFM</w:t>
      </w:r>
      <w:r w:rsidR="00D12B3C">
        <w:t xml:space="preserve"> and the Natural and Built Environment Act</w:t>
      </w:r>
      <w:r>
        <w:t xml:space="preserve">. This direction was reflected in the draft LWRP. Those amendments were repealed by the current government in early 2024. </w:t>
      </w:r>
    </w:p>
    <w:p w14:paraId="671BE5C3" w14:textId="1A832ABE" w:rsidR="00553BB8" w:rsidRDefault="00485820" w:rsidP="00CA6952">
      <w:pPr>
        <w:numPr>
          <w:ilvl w:val="0"/>
          <w:numId w:val="5"/>
        </w:numPr>
        <w:ind w:left="567" w:hanging="567"/>
      </w:pPr>
      <w:r>
        <w:t>The</w:t>
      </w:r>
      <w:r w:rsidR="00A44DEF">
        <w:t xml:space="preserve"> policy included in the draft LWRP for clause 3 consultation </w:t>
      </w:r>
      <w:r w:rsidR="00EC1119">
        <w:t>i</w:t>
      </w:r>
      <w:r w:rsidR="00930DFD">
        <w:t>s</w:t>
      </w:r>
      <w:r w:rsidR="00EC1119">
        <w:t xml:space="preserve"> included in </w:t>
      </w:r>
      <w:r w:rsidR="00930DFD">
        <w:t>the table</w:t>
      </w:r>
      <w:r w:rsidR="00EC1119">
        <w:rPr>
          <w:b/>
          <w:bCs/>
        </w:rPr>
        <w:t xml:space="preserve"> </w:t>
      </w:r>
      <w:r w:rsidR="00EC1119">
        <w:t>below.</w:t>
      </w:r>
      <w:r w:rsidR="001A055A">
        <w:t xml:space="preserve"> In summary, it </w:t>
      </w:r>
      <w:r w:rsidR="00180002">
        <w:t>limit</w:t>
      </w:r>
      <w:r w:rsidR="003E066B">
        <w:t>ed</w:t>
      </w:r>
      <w:r w:rsidR="00180002">
        <w:t xml:space="preserve"> consents to</w:t>
      </w:r>
      <w:r w:rsidR="00797A8A">
        <w:t xml:space="preserve"> a duration that align</w:t>
      </w:r>
      <w:r w:rsidR="003E066B">
        <w:t>ed</w:t>
      </w:r>
      <w:r w:rsidR="00797A8A">
        <w:t xml:space="preserve"> with the introduction of a new Natural and Built Environment Plan (</w:t>
      </w:r>
      <w:r w:rsidR="006944DC">
        <w:t xml:space="preserve">expected to be less than 10 years) </w:t>
      </w:r>
      <w:r w:rsidR="00180002">
        <w:t xml:space="preserve">unless the consent is for a specific, listed activity (generally related to </w:t>
      </w:r>
      <w:r w:rsidR="00553BB8">
        <w:t>the provision of infrastructure).</w:t>
      </w:r>
      <w:r w:rsidR="00CA6952">
        <w:t xml:space="preserve"> </w:t>
      </w:r>
    </w:p>
    <w:p w14:paraId="603991B4" w14:textId="41C5A48B" w:rsidR="00927E46" w:rsidRDefault="00927E46" w:rsidP="005273FE">
      <w:pPr>
        <w:pStyle w:val="Heading2"/>
      </w:pPr>
      <w:r>
        <w:lastRenderedPageBreak/>
        <w:t>Feedback</w:t>
      </w:r>
    </w:p>
    <w:p w14:paraId="0D509CE9" w14:textId="301DDCA5" w:rsidR="00D9372B" w:rsidRDefault="00D9372B">
      <w:pPr>
        <w:numPr>
          <w:ilvl w:val="0"/>
          <w:numId w:val="5"/>
        </w:numPr>
        <w:ind w:left="567" w:hanging="567"/>
      </w:pPr>
      <w:r>
        <w:t xml:space="preserve">In </w:t>
      </w:r>
      <w:r w:rsidR="00844FB9">
        <w:t>2022</w:t>
      </w:r>
      <w:r>
        <w:t xml:space="preserve">, councillors provided direction to assist with shaping the content of the draft LWRP. </w:t>
      </w:r>
      <w:r w:rsidR="008D4E0F">
        <w:t>In relation to consent duration, the direction provided was:</w:t>
      </w:r>
    </w:p>
    <w:p w14:paraId="4ABDAFF3" w14:textId="3588AA75" w:rsidR="008D4E0F" w:rsidRDefault="008D4E0F" w:rsidP="008D4E0F">
      <w:pPr>
        <w:pStyle w:val="Sub-numberedpara1"/>
      </w:pPr>
      <w:r>
        <w:t>Different timeframes for new and existing systems,</w:t>
      </w:r>
    </w:p>
    <w:p w14:paraId="48747CD0" w14:textId="743A2F47" w:rsidR="008D4E0F" w:rsidRDefault="008D4E0F" w:rsidP="008D4E0F">
      <w:pPr>
        <w:pStyle w:val="Sub-numberedpara1"/>
      </w:pPr>
      <w:r>
        <w:t>Long-term consents are an impediment to change,</w:t>
      </w:r>
    </w:p>
    <w:p w14:paraId="23DA883B" w14:textId="0716E5DC" w:rsidR="008D4E0F" w:rsidRDefault="008D4E0F" w:rsidP="008D4E0F">
      <w:pPr>
        <w:pStyle w:val="Sub-numberedpara1"/>
      </w:pPr>
      <w:r>
        <w:t>Need to make sure that consent duration does not prevent council from achieving outcomes (which might change over time),</w:t>
      </w:r>
    </w:p>
    <w:p w14:paraId="148F0B24" w14:textId="22350F29" w:rsidR="008D4E0F" w:rsidRDefault="007A7DC5" w:rsidP="008D4E0F">
      <w:pPr>
        <w:pStyle w:val="Sub-numberedpara1"/>
      </w:pPr>
      <w:r>
        <w:t>Review</w:t>
      </w:r>
      <w:r w:rsidR="00ED3F7B">
        <w:t xml:space="preserve"> clauses including consents, and</w:t>
      </w:r>
    </w:p>
    <w:p w14:paraId="15207A72" w14:textId="431A46B4" w:rsidR="00ED3F7B" w:rsidRDefault="00ED3F7B" w:rsidP="00263A53">
      <w:pPr>
        <w:pStyle w:val="Sub-numberedpara1"/>
      </w:pPr>
      <w:r>
        <w:t>Balancing duration with investment needs.</w:t>
      </w:r>
      <w:r>
        <w:rPr>
          <w:rStyle w:val="FootnoteReference"/>
        </w:rPr>
        <w:footnoteReference w:id="2"/>
      </w:r>
    </w:p>
    <w:p w14:paraId="29E0DB8F" w14:textId="62FA56CA" w:rsidR="00ED3F7B" w:rsidRDefault="00693B1F">
      <w:pPr>
        <w:numPr>
          <w:ilvl w:val="0"/>
          <w:numId w:val="5"/>
        </w:numPr>
        <w:ind w:left="567" w:hanging="567"/>
      </w:pPr>
      <w:r>
        <w:t xml:space="preserve">Before </w:t>
      </w:r>
      <w:r w:rsidR="001C75AB">
        <w:t>any drafting was prepared to implement this, the RMA was amended as described above.</w:t>
      </w:r>
    </w:p>
    <w:p w14:paraId="5CA9F7D3" w14:textId="024764DF" w:rsidR="00FE76B7" w:rsidRDefault="000902FB" w:rsidP="008B4419">
      <w:pPr>
        <w:numPr>
          <w:ilvl w:val="0"/>
          <w:numId w:val="5"/>
        </w:numPr>
        <w:ind w:left="567" w:hanging="567"/>
      </w:pPr>
      <w:r>
        <w:t xml:space="preserve">Feedback on the consent duration </w:t>
      </w:r>
      <w:r w:rsidR="008E7EB4">
        <w:t xml:space="preserve">policy </w:t>
      </w:r>
      <w:r w:rsidR="001C75AB">
        <w:t xml:space="preserve">included in the draft LWRP </w:t>
      </w:r>
      <w:r>
        <w:t xml:space="preserve">was received from internal staff as well as from parties </w:t>
      </w:r>
      <w:r w:rsidR="008E7EB4">
        <w:t>involved in</w:t>
      </w:r>
      <w:r>
        <w:t xml:space="preserve"> clause 3 consultation. </w:t>
      </w:r>
      <w:r w:rsidR="00FE76B7" w:rsidRPr="00FE76B7">
        <w:t xml:space="preserve">Internal feedback </w:t>
      </w:r>
      <w:r w:rsidR="00FE76B7">
        <w:t>wa</w:t>
      </w:r>
      <w:r w:rsidR="00FE76B7" w:rsidRPr="00FE76B7">
        <w:t xml:space="preserve">s that without clear direction on time periods, the RMA ‘backstop’ of 35 years leaves consents officers having to justify any reduction from that. </w:t>
      </w:r>
      <w:r w:rsidR="00B006C7">
        <w:t xml:space="preserve">There was concern that long durations would affect the ability for </w:t>
      </w:r>
      <w:r w:rsidR="00127809">
        <w:t xml:space="preserve">activities to evolve over time in line with the timeframes set for achieving </w:t>
      </w:r>
      <w:r w:rsidR="001D0C75">
        <w:t xml:space="preserve">long-term visions and target attribute states. For example, </w:t>
      </w:r>
      <w:r w:rsidR="00CF2180">
        <w:t>as a result of the historic</w:t>
      </w:r>
      <w:r w:rsidR="00750234">
        <w:t>al</w:t>
      </w:r>
      <w:r w:rsidR="00CF2180">
        <w:t xml:space="preserve"> practice </w:t>
      </w:r>
      <w:r w:rsidR="46C86740">
        <w:t>of</w:t>
      </w:r>
      <w:r w:rsidR="00CF2180">
        <w:t xml:space="preserve"> granting consent for long durations, </w:t>
      </w:r>
      <w:r w:rsidR="0083218D">
        <w:t xml:space="preserve">approximately </w:t>
      </w:r>
      <w:r w:rsidR="005B0236">
        <w:t xml:space="preserve">20% of the water permits in the </w:t>
      </w:r>
      <w:proofErr w:type="spellStart"/>
      <w:r w:rsidR="005B0236">
        <w:t>Taiari</w:t>
      </w:r>
      <w:proofErr w:type="spellEnd"/>
      <w:r w:rsidR="005B0236">
        <w:t xml:space="preserve"> FMU do not expire </w:t>
      </w:r>
      <w:r w:rsidR="00CF2180">
        <w:t>until between 2045 and 2050</w:t>
      </w:r>
      <w:r w:rsidR="00170060">
        <w:t xml:space="preserve"> which was a significant factor </w:t>
      </w:r>
      <w:r w:rsidR="0045712F">
        <w:t>in</w:t>
      </w:r>
      <w:r w:rsidR="00170060">
        <w:t xml:space="preserve"> setting the vision timeframe </w:t>
      </w:r>
      <w:r w:rsidR="00281A2A">
        <w:t>(</w:t>
      </w:r>
      <w:r w:rsidR="00170060">
        <w:t>2050</w:t>
      </w:r>
      <w:r w:rsidR="00281A2A">
        <w:t>)</w:t>
      </w:r>
      <w:r w:rsidR="00170060">
        <w:t xml:space="preserve">. </w:t>
      </w:r>
      <w:r w:rsidR="00260EE6">
        <w:t xml:space="preserve">As achievement of environmental outcomes and long-term visions is intended to be staged over time, it will be important that there is the opportunity to revisit </w:t>
      </w:r>
      <w:r w:rsidR="00EF3D86">
        <w:t>some management approaches in the future and amend them as required</w:t>
      </w:r>
      <w:r w:rsidR="00281A2A">
        <w:t xml:space="preserve">, which can be difficult to do </w:t>
      </w:r>
      <w:r w:rsidR="001310E9">
        <w:t>when</w:t>
      </w:r>
      <w:r w:rsidR="00281A2A">
        <w:t xml:space="preserve"> consents are commonly granted for long periods.</w:t>
      </w:r>
    </w:p>
    <w:p w14:paraId="1D942708" w14:textId="47A117F9" w:rsidR="00FE76B7" w:rsidRDefault="00FE76B7" w:rsidP="00FE76B7">
      <w:pPr>
        <w:pStyle w:val="Numberedparagraph"/>
      </w:pPr>
      <w:r>
        <w:t>External feedback from clause 3 feedback was mixed:</w:t>
      </w:r>
    </w:p>
    <w:p w14:paraId="44C1123C" w14:textId="2D19295D" w:rsidR="00FE76B7" w:rsidRDefault="00A841AC" w:rsidP="00FE76B7">
      <w:pPr>
        <w:pStyle w:val="Sub-numberedpara1"/>
      </w:pPr>
      <w:r w:rsidRPr="00A841AC">
        <w:t>Some parties support</w:t>
      </w:r>
      <w:r w:rsidR="001E788E">
        <w:t>ed</w:t>
      </w:r>
      <w:r w:rsidRPr="00A841AC">
        <w:t xml:space="preserve"> the approach </w:t>
      </w:r>
      <w:r w:rsidR="009C675E">
        <w:t xml:space="preserve">in the draft LWRP </w:t>
      </w:r>
      <w:r w:rsidRPr="00A841AC">
        <w:t xml:space="preserve">and </w:t>
      </w:r>
      <w:r w:rsidR="001E788E">
        <w:t>sought</w:t>
      </w:r>
      <w:r w:rsidRPr="00A841AC">
        <w:t xml:space="preserve"> to retain </w:t>
      </w:r>
      <w:r w:rsidR="00466295">
        <w:t xml:space="preserve">the </w:t>
      </w:r>
      <w:r w:rsidR="007B5FF3">
        <w:t>core principles of the policy (with amendments to remove the references to the Natural and Built Environment Act)</w:t>
      </w:r>
      <w:r w:rsidRPr="00A841AC">
        <w:t xml:space="preserve">, highlighting the difficulty with implementing change when activities are ‘locked in’ for long periods.  </w:t>
      </w:r>
    </w:p>
    <w:p w14:paraId="6ADEE8FB" w14:textId="53E34D23" w:rsidR="00A841AC" w:rsidRDefault="00E10AC6" w:rsidP="00FE76B7">
      <w:pPr>
        <w:pStyle w:val="Sub-numberedpara1"/>
      </w:pPr>
      <w:r w:rsidRPr="00E10AC6">
        <w:t>Some parties oppose</w:t>
      </w:r>
      <w:r w:rsidR="001E788E">
        <w:t>d</w:t>
      </w:r>
      <w:r w:rsidRPr="00E10AC6">
        <w:t xml:space="preserve"> the direction and </w:t>
      </w:r>
      <w:r w:rsidR="001E788E">
        <w:t>sought</w:t>
      </w:r>
      <w:r w:rsidRPr="00E10AC6">
        <w:t xml:space="preserve"> its deletion, highlighting the importance of long-term certainty for investment.</w:t>
      </w:r>
    </w:p>
    <w:p w14:paraId="58390844" w14:textId="663272B3" w:rsidR="00DE14C6" w:rsidRPr="00DE14C6" w:rsidRDefault="0071022F" w:rsidP="0071022F">
      <w:pPr>
        <w:numPr>
          <w:ilvl w:val="0"/>
          <w:numId w:val="5"/>
        </w:numPr>
        <w:ind w:left="567" w:hanging="567"/>
      </w:pPr>
      <w:r>
        <w:t>This feedback</w:t>
      </w:r>
      <w:r w:rsidR="00DE14C6">
        <w:t xml:space="preserve"> was discussed at a workshop with councillors on 27 March. There was general support for providing longer durations for some activities, including infrastructure and activities that will contribute to achieving the environmental outcomes sought by the plan, alongside a ‘backstop’ for other activities.</w:t>
      </w:r>
    </w:p>
    <w:p w14:paraId="17B2320F" w14:textId="66388792" w:rsidR="00201ED5" w:rsidRPr="00201ED5" w:rsidRDefault="00201ED5" w:rsidP="005273FE">
      <w:pPr>
        <w:pStyle w:val="Heading2"/>
      </w:pPr>
      <w:r w:rsidRPr="00201ED5">
        <w:lastRenderedPageBreak/>
        <w:t>Suggested changes</w:t>
      </w:r>
    </w:p>
    <w:p w14:paraId="41DAB284" w14:textId="1C67718F" w:rsidR="00EC1119" w:rsidRDefault="005D019A" w:rsidP="00EC1119">
      <w:pPr>
        <w:numPr>
          <w:ilvl w:val="0"/>
          <w:numId w:val="5"/>
        </w:numPr>
        <w:ind w:left="567" w:hanging="567"/>
      </w:pPr>
      <w:r>
        <w:t>Staff have reconsidered the policy and now propose a complete revision</w:t>
      </w:r>
      <w:r w:rsidR="00EC1119">
        <w:t xml:space="preserve"> that</w:t>
      </w:r>
      <w:r w:rsidR="00D932E5">
        <w:t xml:space="preserve"> provides greater flexibility for longer durations to be granted while still maintaining a backstop</w:t>
      </w:r>
      <w:r w:rsidR="00EC1119">
        <w:t xml:space="preserve">. </w:t>
      </w:r>
      <w:r w:rsidR="00BB125C">
        <w:t xml:space="preserve">It is similar to the policy in the clause 3 version of the draft LWRP in that it does provide for longer duration consents to be granted for specific activities and activities that are achieving particular outcomes. </w:t>
      </w:r>
      <w:r w:rsidR="00750234">
        <w:t xml:space="preserve">The revised policy will </w:t>
      </w:r>
      <w:r w:rsidR="008A30CF">
        <w:t xml:space="preserve">provide </w:t>
      </w:r>
      <w:r w:rsidR="00AB3F8B">
        <w:t xml:space="preserve">support for the </w:t>
      </w:r>
      <w:r w:rsidR="00750234">
        <w:t xml:space="preserve">Consents team </w:t>
      </w:r>
      <w:r w:rsidR="00AB3F8B">
        <w:t xml:space="preserve">to grant consents that are </w:t>
      </w:r>
      <w:r w:rsidR="00536D94">
        <w:t>shorter than 35 years.</w:t>
      </w:r>
    </w:p>
    <w:p w14:paraId="4414730D" w14:textId="03042A5B" w:rsidR="00EC1119" w:rsidRDefault="00EC1119" w:rsidP="00EC1119">
      <w:pPr>
        <w:numPr>
          <w:ilvl w:val="0"/>
          <w:numId w:val="5"/>
        </w:numPr>
        <w:ind w:left="567" w:hanging="567"/>
      </w:pPr>
      <w:r>
        <w:t>We are seeking your feedback on:</w:t>
      </w:r>
    </w:p>
    <w:p w14:paraId="251F218A" w14:textId="0830D621" w:rsidR="00EC1119" w:rsidRDefault="00EC1119" w:rsidP="00EC1119">
      <w:pPr>
        <w:pStyle w:val="Sub-numberedpara1"/>
      </w:pPr>
      <w:r>
        <w:t xml:space="preserve">Whether the policy appropriately responds to the </w:t>
      </w:r>
      <w:r w:rsidR="002510D1">
        <w:t>direction provided in March, and</w:t>
      </w:r>
    </w:p>
    <w:p w14:paraId="354A5EAE" w14:textId="7E8EE03B" w:rsidR="002510D1" w:rsidRDefault="002510D1" w:rsidP="00EC1119">
      <w:pPr>
        <w:pStyle w:val="Sub-numberedpara1"/>
      </w:pPr>
      <w:r>
        <w:t>Whether the backstop should be 10 or 15 years.</w:t>
      </w:r>
    </w:p>
    <w:p w14:paraId="074323AC" w14:textId="555FF57C" w:rsidR="00EC1119" w:rsidRDefault="002510D1" w:rsidP="00EC1119">
      <w:pPr>
        <w:numPr>
          <w:ilvl w:val="0"/>
          <w:numId w:val="5"/>
        </w:numPr>
        <w:ind w:left="567" w:hanging="567"/>
      </w:pPr>
      <w:r>
        <w:t>The proposed policy is set out in the table below.</w:t>
      </w:r>
    </w:p>
    <w:p w14:paraId="105B9748" w14:textId="77777777" w:rsidR="00EC1119" w:rsidRDefault="00EC1119" w:rsidP="00EC1119"/>
    <w:p w14:paraId="687C1133" w14:textId="38BB1D53" w:rsidR="00EC1119" w:rsidRPr="00EC1119" w:rsidRDefault="00EC1119" w:rsidP="00EC1119">
      <w:pPr>
        <w:sectPr w:rsidR="00EC1119" w:rsidRPr="00EC1119" w:rsidSect="00A418BB">
          <w:footerReference w:type="default" r:id="rId11"/>
          <w:footerReference w:type="first" r:id="rId12"/>
          <w:pgSz w:w="11906" w:h="16838"/>
          <w:pgMar w:top="1440" w:right="1440" w:bottom="1440" w:left="1440" w:header="708" w:footer="708" w:gutter="0"/>
          <w:cols w:space="708"/>
          <w:titlePg/>
          <w:docGrid w:linePitch="360"/>
        </w:sectPr>
      </w:pPr>
    </w:p>
    <w:tbl>
      <w:tblPr>
        <w:tblStyle w:val="TableGrid"/>
        <w:tblW w:w="5000" w:type="pct"/>
        <w:tblLook w:val="04A0" w:firstRow="1" w:lastRow="0" w:firstColumn="1" w:lastColumn="0" w:noHBand="0" w:noVBand="1"/>
      </w:tblPr>
      <w:tblGrid>
        <w:gridCol w:w="8216"/>
        <w:gridCol w:w="6910"/>
      </w:tblGrid>
      <w:tr w:rsidR="00B51883" w:rsidRPr="00B51883" w14:paraId="4646CACA" w14:textId="77777777" w:rsidTr="002510D1">
        <w:tc>
          <w:tcPr>
            <w:tcW w:w="2716" w:type="pct"/>
          </w:tcPr>
          <w:p w14:paraId="339DDFC8" w14:textId="7783C8DD" w:rsidR="00B51883" w:rsidRPr="00B51883" w:rsidRDefault="00B51883" w:rsidP="00B51883">
            <w:pPr>
              <w:spacing w:before="60" w:after="60"/>
              <w:rPr>
                <w:b/>
                <w:bCs/>
                <w:sz w:val="20"/>
                <w:szCs w:val="20"/>
              </w:rPr>
            </w:pPr>
            <w:r w:rsidRPr="00B51883">
              <w:rPr>
                <w:b/>
                <w:bCs/>
                <w:sz w:val="20"/>
                <w:szCs w:val="20"/>
              </w:rPr>
              <w:lastRenderedPageBreak/>
              <w:t>Clause 3 version</w:t>
            </w:r>
          </w:p>
        </w:tc>
        <w:tc>
          <w:tcPr>
            <w:tcW w:w="2284" w:type="pct"/>
          </w:tcPr>
          <w:p w14:paraId="4A9EB9B2" w14:textId="5699E566" w:rsidR="00B51883" w:rsidRPr="00B51883" w:rsidRDefault="00B51883" w:rsidP="00B51883">
            <w:pPr>
              <w:spacing w:before="60" w:after="60"/>
              <w:rPr>
                <w:b/>
                <w:bCs/>
                <w:sz w:val="20"/>
                <w:szCs w:val="20"/>
              </w:rPr>
            </w:pPr>
            <w:r w:rsidRPr="00B51883">
              <w:rPr>
                <w:b/>
                <w:bCs/>
                <w:sz w:val="20"/>
                <w:szCs w:val="20"/>
              </w:rPr>
              <w:t>Revised version</w:t>
            </w:r>
            <w:r w:rsidR="00536D94">
              <w:rPr>
                <w:b/>
                <w:bCs/>
                <w:sz w:val="20"/>
                <w:szCs w:val="20"/>
              </w:rPr>
              <w:t xml:space="preserve"> (</w:t>
            </w:r>
            <w:r w:rsidR="00D169FA">
              <w:rPr>
                <w:b/>
                <w:bCs/>
                <w:sz w:val="20"/>
                <w:szCs w:val="20"/>
              </w:rPr>
              <w:t>specific wording subject to change)</w:t>
            </w:r>
            <w:r w:rsidR="00536D94">
              <w:rPr>
                <w:b/>
                <w:bCs/>
                <w:sz w:val="20"/>
                <w:szCs w:val="20"/>
              </w:rPr>
              <w:t xml:space="preserve"> </w:t>
            </w:r>
          </w:p>
        </w:tc>
      </w:tr>
      <w:tr w:rsidR="00B51883" w:rsidRPr="00B51883" w14:paraId="302E967C" w14:textId="77777777" w:rsidTr="002510D1">
        <w:tc>
          <w:tcPr>
            <w:tcW w:w="2716" w:type="pct"/>
          </w:tcPr>
          <w:p w14:paraId="53BE30A2" w14:textId="77777777" w:rsidR="00B51883" w:rsidRPr="00B51883" w:rsidRDefault="00B51883" w:rsidP="00B51883">
            <w:pPr>
              <w:spacing w:before="60" w:after="60"/>
              <w:ind w:right="34"/>
              <w:rPr>
                <w:sz w:val="20"/>
                <w:szCs w:val="20"/>
              </w:rPr>
            </w:pPr>
            <w:r w:rsidRPr="00B51883">
              <w:rPr>
                <w:sz w:val="20"/>
                <w:szCs w:val="20"/>
              </w:rPr>
              <w:t xml:space="preserve">When determining the duration of a resource consent, decision-makers must: </w:t>
            </w:r>
          </w:p>
          <w:p w14:paraId="425C92DD" w14:textId="79E05588" w:rsidR="00B51883" w:rsidRPr="00B51883" w:rsidRDefault="00B51883" w:rsidP="00B51883">
            <w:pPr>
              <w:spacing w:before="60" w:after="60"/>
              <w:ind w:left="426" w:right="34" w:hanging="426"/>
              <w:rPr>
                <w:sz w:val="20"/>
                <w:szCs w:val="20"/>
              </w:rPr>
            </w:pPr>
            <w:r w:rsidRPr="00B51883">
              <w:rPr>
                <w:sz w:val="20"/>
                <w:szCs w:val="20"/>
              </w:rPr>
              <w:t>(1)</w:t>
            </w:r>
            <w:r w:rsidRPr="00B51883">
              <w:rPr>
                <w:sz w:val="20"/>
                <w:szCs w:val="20"/>
              </w:rPr>
              <w:tab/>
              <w:t>for affected resource consents, ensure the maximum duration is the shorter of either five years after the relevant rules in Otago’s first Natural and Built Environment Plan prepared under the Natural and Built Environment Act 2022 take legal effect, or ten years, unless the application is for one of the following activities:</w:t>
            </w:r>
          </w:p>
          <w:p w14:paraId="747B0438" w14:textId="77777777" w:rsidR="00B51883" w:rsidRPr="00B51883" w:rsidRDefault="00B51883" w:rsidP="00B51883">
            <w:pPr>
              <w:spacing w:before="60" w:after="60"/>
              <w:ind w:left="851" w:right="34" w:hanging="426"/>
              <w:rPr>
                <w:sz w:val="20"/>
                <w:szCs w:val="20"/>
              </w:rPr>
            </w:pPr>
            <w:r w:rsidRPr="00B51883">
              <w:rPr>
                <w:sz w:val="20"/>
                <w:szCs w:val="20"/>
              </w:rPr>
              <w:t>(a)</w:t>
            </w:r>
            <w:r w:rsidRPr="00B51883">
              <w:rPr>
                <w:sz w:val="20"/>
                <w:szCs w:val="20"/>
              </w:rPr>
              <w:tab/>
              <w:t>the construction, operation, upgrading, or maintenance of local authority or community reticulated water supply networks; or</w:t>
            </w:r>
          </w:p>
          <w:p w14:paraId="2E5DD3AD" w14:textId="77777777" w:rsidR="00B51883" w:rsidRPr="00B51883" w:rsidRDefault="00B51883" w:rsidP="00B51883">
            <w:pPr>
              <w:spacing w:before="60" w:after="60"/>
              <w:ind w:left="851" w:right="34" w:hanging="426"/>
              <w:rPr>
                <w:sz w:val="20"/>
                <w:szCs w:val="20"/>
              </w:rPr>
            </w:pPr>
            <w:r w:rsidRPr="00B51883">
              <w:rPr>
                <w:sz w:val="20"/>
                <w:szCs w:val="20"/>
              </w:rPr>
              <w:t>(b)</w:t>
            </w:r>
            <w:r w:rsidRPr="00B51883">
              <w:rPr>
                <w:sz w:val="20"/>
                <w:szCs w:val="20"/>
              </w:rPr>
              <w:tab/>
              <w:t>the construction, operation, upgrading, and maintenance of infrastructure that forms part of a public wastewater or stormwater network; or</w:t>
            </w:r>
          </w:p>
          <w:p w14:paraId="608E6D16" w14:textId="77777777" w:rsidR="00B51883" w:rsidRPr="00B51883" w:rsidRDefault="00B51883" w:rsidP="00B51883">
            <w:pPr>
              <w:spacing w:before="60" w:after="60"/>
              <w:ind w:left="851" w:right="34" w:hanging="426"/>
              <w:rPr>
                <w:sz w:val="20"/>
                <w:szCs w:val="20"/>
              </w:rPr>
            </w:pPr>
            <w:r w:rsidRPr="00B51883">
              <w:rPr>
                <w:sz w:val="20"/>
                <w:szCs w:val="20"/>
              </w:rPr>
              <w:t>(c)</w:t>
            </w:r>
            <w:r w:rsidRPr="00B51883">
              <w:rPr>
                <w:sz w:val="20"/>
                <w:szCs w:val="20"/>
              </w:rPr>
              <w:tab/>
              <w:t xml:space="preserve">the operation, upgrading, or maintenance of any hydro-electricity generation scheme that existed </w:t>
            </w:r>
            <w:proofErr w:type="gramStart"/>
            <w:r w:rsidRPr="00B51883">
              <w:rPr>
                <w:sz w:val="20"/>
                <w:szCs w:val="20"/>
              </w:rPr>
              <w:t>at</w:t>
            </w:r>
            <w:proofErr w:type="gramEnd"/>
            <w:r w:rsidRPr="00B51883">
              <w:rPr>
                <w:sz w:val="20"/>
                <w:szCs w:val="20"/>
              </w:rPr>
              <w:t xml:space="preserve"> 23 August 2023; or</w:t>
            </w:r>
          </w:p>
          <w:p w14:paraId="52FBCBA5" w14:textId="77777777" w:rsidR="00B51883" w:rsidRPr="00B51883" w:rsidRDefault="00B51883" w:rsidP="00B51883">
            <w:pPr>
              <w:spacing w:before="60" w:after="60"/>
              <w:ind w:left="851" w:right="34" w:hanging="426"/>
              <w:rPr>
                <w:sz w:val="20"/>
                <w:szCs w:val="20"/>
              </w:rPr>
            </w:pPr>
            <w:r w:rsidRPr="00B51883">
              <w:rPr>
                <w:sz w:val="20"/>
                <w:szCs w:val="20"/>
              </w:rPr>
              <w:t>(d)</w:t>
            </w:r>
            <w:r w:rsidRPr="00B51883">
              <w:rPr>
                <w:sz w:val="20"/>
                <w:szCs w:val="20"/>
              </w:rPr>
              <w:tab/>
              <w:t>the construction, operation, upgrading, or maintenance of any of the following activities:</w:t>
            </w:r>
          </w:p>
          <w:p w14:paraId="20C04CF0" w14:textId="77777777" w:rsidR="00B51883" w:rsidRPr="00B51883" w:rsidRDefault="00B51883" w:rsidP="00B51883">
            <w:pPr>
              <w:spacing w:before="60" w:after="60"/>
              <w:ind w:left="1277" w:right="34" w:hanging="426"/>
              <w:rPr>
                <w:sz w:val="20"/>
                <w:szCs w:val="20"/>
              </w:rPr>
            </w:pPr>
            <w:r w:rsidRPr="00B51883">
              <w:rPr>
                <w:sz w:val="20"/>
                <w:szCs w:val="20"/>
              </w:rPr>
              <w:t>(</w:t>
            </w:r>
            <w:proofErr w:type="spellStart"/>
            <w:r w:rsidRPr="00B51883">
              <w:rPr>
                <w:sz w:val="20"/>
                <w:szCs w:val="20"/>
              </w:rPr>
              <w:t>i</w:t>
            </w:r>
            <w:proofErr w:type="spellEnd"/>
            <w:r w:rsidRPr="00B51883">
              <w:rPr>
                <w:sz w:val="20"/>
                <w:szCs w:val="20"/>
              </w:rPr>
              <w:t>)</w:t>
            </w:r>
            <w:r w:rsidRPr="00B51883">
              <w:rPr>
                <w:sz w:val="20"/>
                <w:szCs w:val="20"/>
              </w:rPr>
              <w:tab/>
              <w:t>State highways; or</w:t>
            </w:r>
          </w:p>
          <w:p w14:paraId="0C545E6B" w14:textId="77777777" w:rsidR="00B51883" w:rsidRPr="00B51883" w:rsidRDefault="00B51883" w:rsidP="00B51883">
            <w:pPr>
              <w:spacing w:before="60" w:after="60"/>
              <w:ind w:left="1277" w:right="34" w:hanging="426"/>
              <w:rPr>
                <w:sz w:val="20"/>
                <w:szCs w:val="20"/>
              </w:rPr>
            </w:pPr>
            <w:r w:rsidRPr="00B51883">
              <w:rPr>
                <w:sz w:val="20"/>
                <w:szCs w:val="20"/>
              </w:rPr>
              <w:t>(ii)</w:t>
            </w:r>
            <w:r w:rsidRPr="00B51883">
              <w:rPr>
                <w:sz w:val="20"/>
                <w:szCs w:val="20"/>
              </w:rPr>
              <w:tab/>
              <w:t>the national grid electricity transmission network or local distribution network; or</w:t>
            </w:r>
          </w:p>
          <w:p w14:paraId="1BB6F070" w14:textId="77777777" w:rsidR="00B51883" w:rsidRPr="00B51883" w:rsidRDefault="00B51883" w:rsidP="00B51883">
            <w:pPr>
              <w:spacing w:before="60" w:after="60"/>
              <w:ind w:left="1277" w:right="34" w:hanging="426"/>
              <w:rPr>
                <w:sz w:val="20"/>
                <w:szCs w:val="20"/>
              </w:rPr>
            </w:pPr>
            <w:r w:rsidRPr="00B51883">
              <w:rPr>
                <w:sz w:val="20"/>
                <w:szCs w:val="20"/>
              </w:rPr>
              <w:t>(iii)</w:t>
            </w:r>
            <w:r w:rsidRPr="00B51883">
              <w:rPr>
                <w:sz w:val="20"/>
                <w:szCs w:val="20"/>
              </w:rPr>
              <w:tab/>
              <w:t>the New Zealand rail network (including light rail); or</w:t>
            </w:r>
          </w:p>
          <w:p w14:paraId="5432A9B1" w14:textId="77777777" w:rsidR="00B51883" w:rsidRPr="00B51883" w:rsidRDefault="00B51883" w:rsidP="00B51883">
            <w:pPr>
              <w:spacing w:before="60" w:after="60"/>
              <w:ind w:left="1277" w:right="34" w:hanging="426"/>
              <w:rPr>
                <w:sz w:val="20"/>
                <w:szCs w:val="20"/>
              </w:rPr>
            </w:pPr>
            <w:r w:rsidRPr="00B51883">
              <w:rPr>
                <w:sz w:val="20"/>
                <w:szCs w:val="20"/>
              </w:rPr>
              <w:t>(iv)</w:t>
            </w:r>
            <w:r w:rsidRPr="00B51883">
              <w:rPr>
                <w:sz w:val="20"/>
                <w:szCs w:val="20"/>
              </w:rPr>
              <w:tab/>
              <w:t>renewable electricity generation facilities, excluding any hydro-electricity generation facility, that connect directly to the national grid electricity transmission network or that connect to a local distribution network; or</w:t>
            </w:r>
          </w:p>
          <w:p w14:paraId="36A4BD33" w14:textId="77777777" w:rsidR="00B51883" w:rsidRPr="00B51883" w:rsidRDefault="00B51883" w:rsidP="00B51883">
            <w:pPr>
              <w:spacing w:before="60" w:after="60"/>
              <w:ind w:left="1277" w:right="34" w:hanging="426"/>
              <w:rPr>
                <w:sz w:val="20"/>
                <w:szCs w:val="20"/>
              </w:rPr>
            </w:pPr>
            <w:r w:rsidRPr="00B51883">
              <w:rPr>
                <w:sz w:val="20"/>
                <w:szCs w:val="20"/>
              </w:rPr>
              <w:t>(v)</w:t>
            </w:r>
            <w:r w:rsidRPr="00B51883">
              <w:rPr>
                <w:sz w:val="20"/>
                <w:szCs w:val="20"/>
              </w:rPr>
              <w:tab/>
              <w:t xml:space="preserve">any airport used for regular air transport services by aeroplanes capable of carrying more than 30 </w:t>
            </w:r>
            <w:proofErr w:type="gramStart"/>
            <w:r w:rsidRPr="00B51883">
              <w:rPr>
                <w:sz w:val="20"/>
                <w:szCs w:val="20"/>
              </w:rPr>
              <w:t>passengers;</w:t>
            </w:r>
            <w:proofErr w:type="gramEnd"/>
            <w:r w:rsidRPr="00B51883">
              <w:rPr>
                <w:sz w:val="20"/>
                <w:szCs w:val="20"/>
              </w:rPr>
              <w:t xml:space="preserve"> or</w:t>
            </w:r>
          </w:p>
          <w:p w14:paraId="68FB1575" w14:textId="77777777" w:rsidR="00B51883" w:rsidRPr="00B51883" w:rsidRDefault="00B51883" w:rsidP="00B51883">
            <w:pPr>
              <w:spacing w:before="60" w:after="60"/>
              <w:ind w:left="1277" w:right="34" w:hanging="426"/>
              <w:rPr>
                <w:sz w:val="20"/>
                <w:szCs w:val="20"/>
              </w:rPr>
            </w:pPr>
            <w:r w:rsidRPr="00B51883">
              <w:rPr>
                <w:sz w:val="20"/>
                <w:szCs w:val="20"/>
              </w:rPr>
              <w:t>(vi)</w:t>
            </w:r>
            <w:r w:rsidRPr="00B51883">
              <w:rPr>
                <w:sz w:val="20"/>
                <w:szCs w:val="20"/>
              </w:rPr>
              <w:tab/>
              <w:t>port facilities of each port company referred to in item 6 of Part A of Schedule 1 of the Civil Defence Emergency Management Act 2002; or</w:t>
            </w:r>
          </w:p>
          <w:p w14:paraId="037311BC" w14:textId="77777777" w:rsidR="00B51883" w:rsidRPr="00B51883" w:rsidRDefault="00B51883" w:rsidP="00B51883">
            <w:pPr>
              <w:spacing w:before="60" w:after="60"/>
              <w:ind w:left="1277" w:right="34" w:hanging="426"/>
              <w:rPr>
                <w:sz w:val="20"/>
                <w:szCs w:val="20"/>
              </w:rPr>
            </w:pPr>
            <w:r w:rsidRPr="00B51883">
              <w:rPr>
                <w:sz w:val="20"/>
                <w:szCs w:val="20"/>
              </w:rPr>
              <w:t>(vii)</w:t>
            </w:r>
            <w:r w:rsidRPr="00B51883">
              <w:rPr>
                <w:sz w:val="20"/>
                <w:szCs w:val="20"/>
              </w:rPr>
              <w:tab/>
              <w:t>infrastructure that forms part of a public telecommunications network; or</w:t>
            </w:r>
          </w:p>
          <w:p w14:paraId="707BFFCF" w14:textId="77777777" w:rsidR="00B51883" w:rsidRPr="00B51883" w:rsidRDefault="00B51883" w:rsidP="00B51883">
            <w:pPr>
              <w:spacing w:before="60" w:after="60"/>
              <w:ind w:left="851" w:right="34" w:hanging="426"/>
              <w:rPr>
                <w:sz w:val="20"/>
                <w:szCs w:val="20"/>
              </w:rPr>
            </w:pPr>
            <w:r w:rsidRPr="00B51883">
              <w:rPr>
                <w:sz w:val="20"/>
                <w:szCs w:val="20"/>
              </w:rPr>
              <w:t>(e)</w:t>
            </w:r>
            <w:r w:rsidRPr="00B51883">
              <w:rPr>
                <w:sz w:val="20"/>
                <w:szCs w:val="20"/>
              </w:rPr>
              <w:tab/>
              <w:t>replacement, repair, or removal activities for the purpose of an activity described in clauses (a) to (d); and</w:t>
            </w:r>
          </w:p>
          <w:p w14:paraId="60118FF9" w14:textId="77777777" w:rsidR="00B51883" w:rsidRPr="00B51883" w:rsidRDefault="00B51883" w:rsidP="00B51883">
            <w:pPr>
              <w:spacing w:before="60" w:after="60"/>
              <w:ind w:left="426" w:right="34" w:hanging="426"/>
              <w:rPr>
                <w:sz w:val="20"/>
                <w:szCs w:val="20"/>
              </w:rPr>
            </w:pPr>
            <w:r w:rsidRPr="00B51883">
              <w:rPr>
                <w:sz w:val="20"/>
                <w:szCs w:val="20"/>
              </w:rPr>
              <w:t>(2)</w:t>
            </w:r>
            <w:r w:rsidRPr="00B51883">
              <w:rPr>
                <w:sz w:val="20"/>
                <w:szCs w:val="20"/>
              </w:rPr>
              <w:tab/>
            </w:r>
            <w:proofErr w:type="gramStart"/>
            <w:r w:rsidRPr="00B51883">
              <w:rPr>
                <w:sz w:val="20"/>
                <w:szCs w:val="20"/>
              </w:rPr>
              <w:t>take into account</w:t>
            </w:r>
            <w:proofErr w:type="gramEnd"/>
            <w:r w:rsidRPr="00B51883">
              <w:rPr>
                <w:sz w:val="20"/>
                <w:szCs w:val="20"/>
              </w:rPr>
              <w:t>:</w:t>
            </w:r>
          </w:p>
          <w:p w14:paraId="1CCD3354" w14:textId="77777777" w:rsidR="00B51883" w:rsidRPr="00B51883" w:rsidRDefault="00B51883" w:rsidP="00B51883">
            <w:pPr>
              <w:spacing w:before="60" w:after="60"/>
              <w:ind w:left="851" w:right="34" w:hanging="426"/>
              <w:rPr>
                <w:sz w:val="20"/>
                <w:szCs w:val="20"/>
              </w:rPr>
            </w:pPr>
            <w:r w:rsidRPr="00B51883">
              <w:rPr>
                <w:sz w:val="20"/>
                <w:szCs w:val="20"/>
              </w:rPr>
              <w:t xml:space="preserve">(a) </w:t>
            </w:r>
            <w:r w:rsidRPr="00B51883">
              <w:rPr>
                <w:sz w:val="20"/>
                <w:szCs w:val="20"/>
              </w:rPr>
              <w:tab/>
              <w:t>any relevant timeframes for achieving interim target attribute states or target attribute states or implementing environmental flows and levels; and</w:t>
            </w:r>
          </w:p>
          <w:p w14:paraId="24DE7B28" w14:textId="0736D843" w:rsidR="00B51883" w:rsidRPr="00B51883" w:rsidRDefault="00B51883" w:rsidP="00B51883">
            <w:pPr>
              <w:spacing w:before="60" w:after="60"/>
              <w:ind w:left="851" w:right="34" w:hanging="426"/>
              <w:rPr>
                <w:sz w:val="20"/>
                <w:szCs w:val="20"/>
              </w:rPr>
            </w:pPr>
            <w:r w:rsidRPr="00B51883">
              <w:rPr>
                <w:sz w:val="20"/>
                <w:szCs w:val="20"/>
              </w:rPr>
              <w:t>(b)</w:t>
            </w:r>
            <w:r w:rsidRPr="00B51883">
              <w:rPr>
                <w:sz w:val="20"/>
                <w:szCs w:val="20"/>
              </w:rPr>
              <w:tab/>
              <w:t>any other methods or timeframes for phasing out or avoiding over-allocation.</w:t>
            </w:r>
          </w:p>
        </w:tc>
        <w:tc>
          <w:tcPr>
            <w:tcW w:w="2284" w:type="pct"/>
          </w:tcPr>
          <w:p w14:paraId="226758B2" w14:textId="77777777" w:rsidR="00B51883" w:rsidRPr="00B51883" w:rsidRDefault="00B51883" w:rsidP="00B51883">
            <w:pPr>
              <w:spacing w:before="60" w:after="60"/>
              <w:ind w:right="121"/>
              <w:rPr>
                <w:sz w:val="20"/>
                <w:szCs w:val="20"/>
              </w:rPr>
            </w:pPr>
            <w:r w:rsidRPr="00B51883">
              <w:rPr>
                <w:sz w:val="20"/>
                <w:szCs w:val="20"/>
              </w:rPr>
              <w:t>When determining the duration of a resource consent, decision-makers must ensure that:</w:t>
            </w:r>
          </w:p>
          <w:p w14:paraId="71C25A9C" w14:textId="77777777" w:rsidR="00B51883" w:rsidRPr="00B51883" w:rsidRDefault="00B51883" w:rsidP="00B51883">
            <w:pPr>
              <w:spacing w:before="60" w:after="60"/>
              <w:ind w:left="426" w:right="121" w:hanging="426"/>
              <w:rPr>
                <w:sz w:val="20"/>
                <w:szCs w:val="20"/>
              </w:rPr>
            </w:pPr>
            <w:r w:rsidRPr="00B51883">
              <w:rPr>
                <w:sz w:val="20"/>
                <w:szCs w:val="20"/>
              </w:rPr>
              <w:t>(1)</w:t>
            </w:r>
            <w:r w:rsidRPr="00B51883">
              <w:rPr>
                <w:sz w:val="20"/>
                <w:szCs w:val="20"/>
              </w:rPr>
              <w:tab/>
              <w:t>the duration of any consent:</w:t>
            </w:r>
          </w:p>
          <w:p w14:paraId="481B0A7B" w14:textId="77777777" w:rsidR="00B51883" w:rsidRPr="00B51883" w:rsidRDefault="00B51883" w:rsidP="00B51883">
            <w:pPr>
              <w:spacing w:before="60" w:after="60"/>
              <w:ind w:left="851" w:right="121" w:hanging="426"/>
              <w:rPr>
                <w:sz w:val="20"/>
                <w:szCs w:val="20"/>
              </w:rPr>
            </w:pPr>
            <w:r w:rsidRPr="00B51883">
              <w:rPr>
                <w:sz w:val="20"/>
                <w:szCs w:val="20"/>
              </w:rPr>
              <w:t>(a)</w:t>
            </w:r>
            <w:r w:rsidRPr="00B51883">
              <w:rPr>
                <w:sz w:val="20"/>
                <w:szCs w:val="20"/>
              </w:rPr>
              <w:tab/>
              <w:t>will support the achievement of the relevant environmental outcomes in FMU1 to FMU5 and the long-term visions, including by implementing environmental flows and levels; and</w:t>
            </w:r>
          </w:p>
          <w:p w14:paraId="506DFB9B" w14:textId="77777777" w:rsidR="00B51883" w:rsidRPr="00B51883" w:rsidRDefault="00B51883" w:rsidP="00B51883">
            <w:pPr>
              <w:spacing w:before="60" w:after="60"/>
              <w:ind w:left="851" w:right="121" w:hanging="426"/>
              <w:rPr>
                <w:sz w:val="20"/>
                <w:szCs w:val="20"/>
              </w:rPr>
            </w:pPr>
            <w:r w:rsidRPr="00B51883">
              <w:rPr>
                <w:sz w:val="20"/>
                <w:szCs w:val="20"/>
              </w:rPr>
              <w:t>(b)</w:t>
            </w:r>
            <w:r w:rsidRPr="00B51883">
              <w:rPr>
                <w:sz w:val="20"/>
                <w:szCs w:val="20"/>
              </w:rPr>
              <w:tab/>
              <w:t>is consistent with any other relevant methods or timeframes for phasing out or avoiding over-allocation; and</w:t>
            </w:r>
          </w:p>
          <w:p w14:paraId="265A4ADE" w14:textId="77777777" w:rsidR="00B51883" w:rsidRPr="00B51883" w:rsidRDefault="00B51883" w:rsidP="00B51883">
            <w:pPr>
              <w:spacing w:before="60" w:after="60"/>
              <w:ind w:left="426" w:right="121" w:hanging="426"/>
              <w:rPr>
                <w:sz w:val="20"/>
                <w:szCs w:val="20"/>
              </w:rPr>
            </w:pPr>
            <w:r w:rsidRPr="00B51883">
              <w:rPr>
                <w:sz w:val="20"/>
                <w:szCs w:val="20"/>
              </w:rPr>
              <w:t>(2)</w:t>
            </w:r>
            <w:r w:rsidRPr="00B51883">
              <w:rPr>
                <w:sz w:val="20"/>
                <w:szCs w:val="20"/>
              </w:rPr>
              <w:tab/>
              <w:t xml:space="preserve">the duration is no longer than </w:t>
            </w:r>
            <w:r w:rsidRPr="00B51883">
              <w:rPr>
                <w:sz w:val="20"/>
                <w:szCs w:val="20"/>
                <w:highlight w:val="yellow"/>
              </w:rPr>
              <w:t>10/15</w:t>
            </w:r>
            <w:r w:rsidRPr="00B51883">
              <w:rPr>
                <w:sz w:val="20"/>
                <w:szCs w:val="20"/>
              </w:rPr>
              <w:t xml:space="preserve"> years unless:</w:t>
            </w:r>
          </w:p>
          <w:p w14:paraId="70F6ED27" w14:textId="77777777" w:rsidR="00B51883" w:rsidRPr="00B51883" w:rsidRDefault="00B51883" w:rsidP="00B51883">
            <w:pPr>
              <w:spacing w:before="60" w:after="60"/>
              <w:ind w:left="851" w:right="121" w:hanging="426"/>
              <w:rPr>
                <w:sz w:val="20"/>
                <w:szCs w:val="20"/>
              </w:rPr>
            </w:pPr>
            <w:r w:rsidRPr="00B51883">
              <w:rPr>
                <w:sz w:val="20"/>
                <w:szCs w:val="20"/>
              </w:rPr>
              <w:t>(a)</w:t>
            </w:r>
            <w:r w:rsidRPr="00B51883">
              <w:rPr>
                <w:sz w:val="20"/>
                <w:szCs w:val="20"/>
              </w:rPr>
              <w:tab/>
              <w:t>the application is for:</w:t>
            </w:r>
          </w:p>
          <w:p w14:paraId="4BF4EE73" w14:textId="77777777" w:rsidR="00B51883" w:rsidRPr="00B51883" w:rsidRDefault="00B51883" w:rsidP="00B51883">
            <w:pPr>
              <w:spacing w:before="60" w:after="60"/>
              <w:ind w:left="1277" w:right="121" w:hanging="426"/>
              <w:rPr>
                <w:sz w:val="20"/>
                <w:szCs w:val="20"/>
              </w:rPr>
            </w:pPr>
            <w:r w:rsidRPr="00B51883">
              <w:rPr>
                <w:sz w:val="20"/>
                <w:szCs w:val="20"/>
              </w:rPr>
              <w:t>(</w:t>
            </w:r>
            <w:proofErr w:type="spellStart"/>
            <w:r w:rsidRPr="00B51883">
              <w:rPr>
                <w:sz w:val="20"/>
                <w:szCs w:val="20"/>
              </w:rPr>
              <w:t>i</w:t>
            </w:r>
            <w:proofErr w:type="spellEnd"/>
            <w:r w:rsidRPr="00B51883">
              <w:rPr>
                <w:sz w:val="20"/>
                <w:szCs w:val="20"/>
              </w:rPr>
              <w:t>)</w:t>
            </w:r>
            <w:r w:rsidRPr="00B51883">
              <w:rPr>
                <w:sz w:val="20"/>
                <w:szCs w:val="20"/>
              </w:rPr>
              <w:tab/>
              <w:t>the construction, operation, maintenance, repair, replacement, upgrading, or removal of nationally significant infrastructure or regionally significant infrastructure; or</w:t>
            </w:r>
          </w:p>
          <w:p w14:paraId="0E6C803B" w14:textId="77777777" w:rsidR="00B51883" w:rsidRPr="00B51883" w:rsidRDefault="00B51883" w:rsidP="00B51883">
            <w:pPr>
              <w:spacing w:before="60" w:after="60"/>
              <w:ind w:left="1277" w:right="121" w:hanging="426"/>
              <w:rPr>
                <w:sz w:val="20"/>
                <w:szCs w:val="20"/>
              </w:rPr>
            </w:pPr>
            <w:r w:rsidRPr="00B51883">
              <w:rPr>
                <w:sz w:val="20"/>
                <w:szCs w:val="20"/>
              </w:rPr>
              <w:t>(ii)</w:t>
            </w:r>
            <w:r w:rsidRPr="00B51883">
              <w:rPr>
                <w:sz w:val="20"/>
                <w:szCs w:val="20"/>
              </w:rPr>
              <w:tab/>
              <w:t>the construction, replacement, or upgrade of any structures, pipes, or artificial watercourses used for conveying water for irrigation, stock water, community water supply, or hydro-electricity generation that will improve compliance with the relevant environmental flows and levels and take limits; or</w:t>
            </w:r>
          </w:p>
          <w:p w14:paraId="738011BA" w14:textId="77777777" w:rsidR="00B51883" w:rsidRPr="00B51883" w:rsidRDefault="00B51883" w:rsidP="00B51883">
            <w:pPr>
              <w:spacing w:before="60" w:after="60"/>
              <w:ind w:left="851" w:right="121" w:hanging="426"/>
              <w:rPr>
                <w:sz w:val="20"/>
                <w:szCs w:val="20"/>
              </w:rPr>
            </w:pPr>
            <w:r w:rsidRPr="00B51883">
              <w:rPr>
                <w:sz w:val="20"/>
                <w:szCs w:val="20"/>
              </w:rPr>
              <w:t>(b)</w:t>
            </w:r>
            <w:r w:rsidRPr="00B51883">
              <w:rPr>
                <w:sz w:val="20"/>
                <w:szCs w:val="20"/>
              </w:rPr>
              <w:tab/>
              <w:t xml:space="preserve">the application demonstrates that the activity will: </w:t>
            </w:r>
          </w:p>
          <w:p w14:paraId="1334F28D" w14:textId="77777777" w:rsidR="00B51883" w:rsidRPr="00B51883" w:rsidRDefault="00B51883" w:rsidP="00B51883">
            <w:pPr>
              <w:spacing w:before="60" w:after="60"/>
              <w:ind w:left="1277" w:right="121" w:hanging="426"/>
              <w:rPr>
                <w:sz w:val="20"/>
                <w:szCs w:val="20"/>
              </w:rPr>
            </w:pPr>
            <w:r w:rsidRPr="00B51883">
              <w:rPr>
                <w:sz w:val="20"/>
                <w:szCs w:val="20"/>
              </w:rPr>
              <w:t>(</w:t>
            </w:r>
            <w:proofErr w:type="spellStart"/>
            <w:r w:rsidRPr="00B51883">
              <w:rPr>
                <w:sz w:val="20"/>
                <w:szCs w:val="20"/>
              </w:rPr>
              <w:t>i</w:t>
            </w:r>
            <w:proofErr w:type="spellEnd"/>
            <w:r w:rsidRPr="00B51883">
              <w:rPr>
                <w:sz w:val="20"/>
                <w:szCs w:val="20"/>
              </w:rPr>
              <w:t>)</w:t>
            </w:r>
            <w:r w:rsidRPr="00B51883">
              <w:rPr>
                <w:sz w:val="20"/>
                <w:szCs w:val="20"/>
              </w:rPr>
              <w:tab/>
              <w:t>implement staged improvements over the duration of the consent to reduce contaminant losses or actual water use in a way and at a rate that is consistent with achieving the relevant environmental outcomes in FMU1 to FMU5 and the long-term visions; or</w:t>
            </w:r>
          </w:p>
          <w:p w14:paraId="7149C6F0" w14:textId="77777777" w:rsidR="00B51883" w:rsidRPr="00B51883" w:rsidRDefault="00B51883" w:rsidP="00B51883">
            <w:pPr>
              <w:spacing w:before="60" w:after="60"/>
              <w:ind w:left="1277" w:right="121" w:hanging="426"/>
              <w:rPr>
                <w:sz w:val="20"/>
                <w:szCs w:val="20"/>
              </w:rPr>
            </w:pPr>
            <w:r w:rsidRPr="00B51883">
              <w:rPr>
                <w:sz w:val="20"/>
                <w:szCs w:val="20"/>
              </w:rPr>
              <w:t>(ii)</w:t>
            </w:r>
            <w:r w:rsidRPr="00B51883">
              <w:rPr>
                <w:sz w:val="20"/>
                <w:szCs w:val="20"/>
              </w:rPr>
              <w:tab/>
              <w:t>result in environmental flows and levels and take limits being met by the timeframes specified in the relevant long-term vision; or</w:t>
            </w:r>
          </w:p>
          <w:p w14:paraId="062763DC" w14:textId="3661DC79" w:rsidR="00B51883" w:rsidRPr="00B51883" w:rsidRDefault="00B51883" w:rsidP="00B51883">
            <w:pPr>
              <w:spacing w:before="60" w:after="60"/>
              <w:ind w:left="1277" w:right="121" w:hanging="426"/>
              <w:rPr>
                <w:sz w:val="20"/>
                <w:szCs w:val="20"/>
              </w:rPr>
            </w:pPr>
            <w:r w:rsidRPr="00B51883">
              <w:rPr>
                <w:sz w:val="20"/>
                <w:szCs w:val="20"/>
              </w:rPr>
              <w:t>(iii)</w:t>
            </w:r>
            <w:r w:rsidRPr="00B51883">
              <w:rPr>
                <w:sz w:val="20"/>
                <w:szCs w:val="20"/>
              </w:rPr>
              <w:tab/>
              <w:t>positively contribute towards achieving the relevant environmental outcomes in FMU1 to FMU5, including by implementing activities identified in an action plan or a catchment action plan.</w:t>
            </w:r>
          </w:p>
        </w:tc>
      </w:tr>
    </w:tbl>
    <w:p w14:paraId="2847100B" w14:textId="77777777" w:rsidR="00056467" w:rsidRPr="002F6A6D" w:rsidRDefault="00056467" w:rsidP="002F6A6D">
      <w:pPr>
        <w:rPr>
          <w:sz w:val="12"/>
          <w:szCs w:val="12"/>
        </w:rPr>
      </w:pPr>
    </w:p>
    <w:sectPr w:rsidR="00056467" w:rsidRPr="002F6A6D" w:rsidSect="00A418BB">
      <w:pgSz w:w="16838" w:h="11906" w:orient="landscape"/>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F3A4" w14:textId="77777777" w:rsidR="0065574B" w:rsidRDefault="0065574B" w:rsidP="00F35684">
      <w:r>
        <w:separator/>
      </w:r>
    </w:p>
  </w:endnote>
  <w:endnote w:type="continuationSeparator" w:id="0">
    <w:p w14:paraId="0D135EAD" w14:textId="77777777" w:rsidR="0065574B" w:rsidRDefault="0065574B" w:rsidP="00F35684">
      <w:r>
        <w:continuationSeparator/>
      </w:r>
    </w:p>
  </w:endnote>
  <w:endnote w:type="continuationNotice" w:id="1">
    <w:p w14:paraId="6709097C" w14:textId="77777777" w:rsidR="0065574B" w:rsidRDefault="006557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56C3" w14:textId="77777777" w:rsidR="00750234" w:rsidRDefault="00750234" w:rsidP="00843829">
    <w:pPr>
      <w:pStyle w:val="Footer"/>
      <w:jc w:val="right"/>
    </w:pPr>
  </w:p>
  <w:p w14:paraId="119A6626" w14:textId="650C948A" w:rsidR="001E788E" w:rsidRDefault="001E788E" w:rsidP="00843829">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862668"/>
      <w:docPartObj>
        <w:docPartGallery w:val="Page Numbers (Bottom of Page)"/>
        <w:docPartUnique/>
      </w:docPartObj>
    </w:sdtPr>
    <w:sdtEndPr>
      <w:rPr>
        <w:noProof/>
      </w:rPr>
    </w:sdtEndPr>
    <w:sdtContent>
      <w:p w14:paraId="20DD5C1D" w14:textId="0AEFC7BE" w:rsidR="002F6A6D" w:rsidRDefault="002F6A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156213" w14:textId="77777777" w:rsidR="002F6A6D" w:rsidRDefault="002F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F660" w14:textId="77777777" w:rsidR="0065574B" w:rsidRDefault="0065574B" w:rsidP="00F35684">
      <w:r>
        <w:separator/>
      </w:r>
    </w:p>
  </w:footnote>
  <w:footnote w:type="continuationSeparator" w:id="0">
    <w:p w14:paraId="6292E36C" w14:textId="77777777" w:rsidR="0065574B" w:rsidRDefault="0065574B" w:rsidP="00F35684">
      <w:r>
        <w:continuationSeparator/>
      </w:r>
    </w:p>
  </w:footnote>
  <w:footnote w:type="continuationNotice" w:id="1">
    <w:p w14:paraId="77D76AD4" w14:textId="77777777" w:rsidR="0065574B" w:rsidRDefault="0065574B">
      <w:pPr>
        <w:spacing w:after="0" w:line="240" w:lineRule="auto"/>
      </w:pPr>
    </w:p>
  </w:footnote>
  <w:footnote w:id="2">
    <w:p w14:paraId="62173158" w14:textId="28A51C5E" w:rsidR="00ED3F7B" w:rsidRDefault="00ED3F7B">
      <w:pPr>
        <w:pStyle w:val="FootnoteText"/>
      </w:pPr>
      <w:r>
        <w:rPr>
          <w:rStyle w:val="FootnoteReference"/>
        </w:rPr>
        <w:footnoteRef/>
      </w:r>
      <w:r>
        <w:t xml:space="preserve"> </w:t>
      </w:r>
      <w:r w:rsidR="00844FB9">
        <w:t>Council workshop, 13 April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B4CCC"/>
    <w:multiLevelType w:val="hybridMultilevel"/>
    <w:tmpl w:val="C2D037D6"/>
    <w:lvl w:ilvl="0" w:tplc="FC40DD8C">
      <w:start w:val="1"/>
      <w:numFmt w:val="bullet"/>
      <w:pStyle w:val="Bulletedlist"/>
      <w:lvlText w:val=""/>
      <w:lvlJc w:val="left"/>
      <w:pPr>
        <w:ind w:left="1854" w:hanging="360"/>
      </w:pPr>
      <w:rPr>
        <w:rFonts w:ascii="Symbol" w:hAnsi="Symbol" w:hint="default"/>
      </w:rPr>
    </w:lvl>
    <w:lvl w:ilvl="1" w:tplc="E01E641C">
      <w:start w:val="1"/>
      <w:numFmt w:val="bullet"/>
      <w:pStyle w:val="Sub-bullets"/>
      <w:lvlText w:val="o"/>
      <w:lvlJc w:val="left"/>
      <w:pPr>
        <w:ind w:left="1636" w:hanging="360"/>
      </w:pPr>
      <w:rPr>
        <w:rFonts w:ascii="Courier New" w:hAnsi="Courier New" w:cs="Courier New" w:hint="default"/>
      </w:rPr>
    </w:lvl>
    <w:lvl w:ilvl="2" w:tplc="802E094E">
      <w:start w:val="1"/>
      <w:numFmt w:val="bullet"/>
      <w:pStyle w:val="Sub-bullet2"/>
      <w:lvlText w:val="-"/>
      <w:lvlJc w:val="left"/>
      <w:pPr>
        <w:ind w:left="3294" w:hanging="360"/>
      </w:pPr>
      <w:rPr>
        <w:rFonts w:ascii="Courier New" w:hAnsi="Courier New" w:hint="default"/>
      </w:rPr>
    </w:lvl>
    <w:lvl w:ilvl="3" w:tplc="FFFFFFFF" w:tentative="1">
      <w:start w:val="1"/>
      <w:numFmt w:val="bullet"/>
      <w:lvlText w:val=""/>
      <w:lvlJc w:val="left"/>
      <w:pPr>
        <w:ind w:left="4014" w:hanging="360"/>
      </w:pPr>
      <w:rPr>
        <w:rFonts w:ascii="Arial" w:hAnsi="Arial" w:hint="default"/>
      </w:rPr>
    </w:lvl>
    <w:lvl w:ilvl="4" w:tplc="FFFFFFFF" w:tentative="1">
      <w:start w:val="1"/>
      <w:numFmt w:val="bullet"/>
      <w:lvlText w:val="o"/>
      <w:lvlJc w:val="left"/>
      <w:pPr>
        <w:ind w:left="4734" w:hanging="360"/>
      </w:pPr>
      <w:rPr>
        <w:rFonts w:ascii="Segoe UI Emoji" w:hAnsi="Segoe UI Emoji" w:cs="Segoe UI Emoji" w:hint="default"/>
      </w:rPr>
    </w:lvl>
    <w:lvl w:ilvl="5" w:tplc="FFFFFFFF" w:tentative="1">
      <w:start w:val="1"/>
      <w:numFmt w:val="bullet"/>
      <w:lvlText w:val=""/>
      <w:lvlJc w:val="left"/>
      <w:pPr>
        <w:ind w:left="5454" w:hanging="360"/>
      </w:pPr>
      <w:rPr>
        <w:rFonts w:ascii="Yu Gothic Light" w:hAnsi="Yu Gothic Light" w:hint="default"/>
      </w:rPr>
    </w:lvl>
    <w:lvl w:ilvl="6" w:tplc="FFFFFFFF" w:tentative="1">
      <w:start w:val="1"/>
      <w:numFmt w:val="bullet"/>
      <w:lvlText w:val=""/>
      <w:lvlJc w:val="left"/>
      <w:pPr>
        <w:ind w:left="6174" w:hanging="360"/>
      </w:pPr>
      <w:rPr>
        <w:rFonts w:ascii="Arial" w:hAnsi="Arial" w:hint="default"/>
      </w:rPr>
    </w:lvl>
    <w:lvl w:ilvl="7" w:tplc="FFFFFFFF" w:tentative="1">
      <w:start w:val="1"/>
      <w:numFmt w:val="bullet"/>
      <w:lvlText w:val="o"/>
      <w:lvlJc w:val="left"/>
      <w:pPr>
        <w:ind w:left="6894" w:hanging="360"/>
      </w:pPr>
      <w:rPr>
        <w:rFonts w:ascii="Segoe UI Emoji" w:hAnsi="Segoe UI Emoji" w:cs="Segoe UI Emoji" w:hint="default"/>
      </w:rPr>
    </w:lvl>
    <w:lvl w:ilvl="8" w:tplc="FFFFFFFF" w:tentative="1">
      <w:start w:val="1"/>
      <w:numFmt w:val="bullet"/>
      <w:lvlText w:val=""/>
      <w:lvlJc w:val="left"/>
      <w:pPr>
        <w:ind w:left="7614" w:hanging="360"/>
      </w:pPr>
      <w:rPr>
        <w:rFonts w:ascii="Yu Gothic Light" w:hAnsi="Yu Gothic Light" w:hint="default"/>
      </w:rPr>
    </w:lvl>
  </w:abstractNum>
  <w:abstractNum w:abstractNumId="1" w15:restartNumberingAfterBreak="0">
    <w:nsid w:val="1CB74921"/>
    <w:multiLevelType w:val="multilevel"/>
    <w:tmpl w:val="6D1086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D03092E"/>
    <w:multiLevelType w:val="hybridMultilevel"/>
    <w:tmpl w:val="9E52495A"/>
    <w:lvl w:ilvl="0" w:tplc="20C2FD78">
      <w:start w:val="1"/>
      <w:numFmt w:val="bullet"/>
      <w:lvlText w:val=""/>
      <w:lvlJc w:val="left"/>
      <w:pPr>
        <w:ind w:left="720" w:hanging="360"/>
      </w:pPr>
      <w:rPr>
        <w:rFonts w:ascii="Symbol" w:hAnsi="Symbol" w:hint="default"/>
      </w:rPr>
    </w:lvl>
    <w:lvl w:ilvl="1" w:tplc="3F5AAA6A">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EC1407E"/>
    <w:multiLevelType w:val="hybridMultilevel"/>
    <w:tmpl w:val="1D141084"/>
    <w:lvl w:ilvl="0" w:tplc="FFFFFFFF">
      <w:start w:val="1"/>
      <w:numFmt w:val="bullet"/>
      <w:lvlText w:val=""/>
      <w:lvlJc w:val="left"/>
      <w:pPr>
        <w:ind w:left="4122" w:hanging="360"/>
      </w:pPr>
      <w:rPr>
        <w:rFonts w:ascii="Symbol" w:hAnsi="Symbol" w:hint="default"/>
      </w:rPr>
    </w:lvl>
    <w:lvl w:ilvl="1" w:tplc="1409000F">
      <w:start w:val="1"/>
      <w:numFmt w:val="decimal"/>
      <w:lvlText w:val="%2."/>
      <w:lvlJc w:val="left"/>
      <w:pPr>
        <w:ind w:left="927" w:hanging="360"/>
      </w:pPr>
    </w:lvl>
    <w:lvl w:ilvl="2" w:tplc="FFFFFFFF">
      <w:start w:val="1"/>
      <w:numFmt w:val="bullet"/>
      <w:lvlText w:val="-"/>
      <w:lvlJc w:val="left"/>
      <w:pPr>
        <w:ind w:left="5562" w:hanging="360"/>
      </w:pPr>
      <w:rPr>
        <w:rFonts w:ascii="Courier New" w:hAnsi="Courier New" w:hint="default"/>
      </w:rPr>
    </w:lvl>
    <w:lvl w:ilvl="3" w:tplc="FFFFFFFF" w:tentative="1">
      <w:start w:val="1"/>
      <w:numFmt w:val="bullet"/>
      <w:lvlText w:val=""/>
      <w:lvlJc w:val="left"/>
      <w:pPr>
        <w:ind w:left="6282" w:hanging="360"/>
      </w:pPr>
      <w:rPr>
        <w:rFonts w:ascii="Arial" w:hAnsi="Arial" w:hint="default"/>
      </w:rPr>
    </w:lvl>
    <w:lvl w:ilvl="4" w:tplc="FFFFFFFF" w:tentative="1">
      <w:start w:val="1"/>
      <w:numFmt w:val="bullet"/>
      <w:lvlText w:val="o"/>
      <w:lvlJc w:val="left"/>
      <w:pPr>
        <w:ind w:left="7002" w:hanging="360"/>
      </w:pPr>
      <w:rPr>
        <w:rFonts w:ascii="Segoe UI Emoji" w:hAnsi="Segoe UI Emoji" w:cs="Segoe UI Emoji" w:hint="default"/>
      </w:rPr>
    </w:lvl>
    <w:lvl w:ilvl="5" w:tplc="FFFFFFFF" w:tentative="1">
      <w:start w:val="1"/>
      <w:numFmt w:val="bullet"/>
      <w:lvlText w:val=""/>
      <w:lvlJc w:val="left"/>
      <w:pPr>
        <w:ind w:left="7722" w:hanging="360"/>
      </w:pPr>
      <w:rPr>
        <w:rFonts w:ascii="Yu Gothic Light" w:hAnsi="Yu Gothic Light" w:hint="default"/>
      </w:rPr>
    </w:lvl>
    <w:lvl w:ilvl="6" w:tplc="FFFFFFFF" w:tentative="1">
      <w:start w:val="1"/>
      <w:numFmt w:val="bullet"/>
      <w:lvlText w:val=""/>
      <w:lvlJc w:val="left"/>
      <w:pPr>
        <w:ind w:left="8442" w:hanging="360"/>
      </w:pPr>
      <w:rPr>
        <w:rFonts w:ascii="Arial" w:hAnsi="Arial" w:hint="default"/>
      </w:rPr>
    </w:lvl>
    <w:lvl w:ilvl="7" w:tplc="FFFFFFFF" w:tentative="1">
      <w:start w:val="1"/>
      <w:numFmt w:val="bullet"/>
      <w:lvlText w:val="o"/>
      <w:lvlJc w:val="left"/>
      <w:pPr>
        <w:ind w:left="9162" w:hanging="360"/>
      </w:pPr>
      <w:rPr>
        <w:rFonts w:ascii="Segoe UI Emoji" w:hAnsi="Segoe UI Emoji" w:cs="Segoe UI Emoji" w:hint="default"/>
      </w:rPr>
    </w:lvl>
    <w:lvl w:ilvl="8" w:tplc="FFFFFFFF" w:tentative="1">
      <w:start w:val="1"/>
      <w:numFmt w:val="bullet"/>
      <w:lvlText w:val=""/>
      <w:lvlJc w:val="left"/>
      <w:pPr>
        <w:ind w:left="9882" w:hanging="360"/>
      </w:pPr>
      <w:rPr>
        <w:rFonts w:ascii="Yu Gothic Light" w:hAnsi="Yu Gothic Light" w:hint="default"/>
      </w:rPr>
    </w:lvl>
  </w:abstractNum>
  <w:abstractNum w:abstractNumId="4" w15:restartNumberingAfterBreak="0">
    <w:nsid w:val="4AD10A80"/>
    <w:multiLevelType w:val="hybridMultilevel"/>
    <w:tmpl w:val="E8F0DB14"/>
    <w:lvl w:ilvl="0" w:tplc="1409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55404CF0"/>
    <w:multiLevelType w:val="multilevel"/>
    <w:tmpl w:val="2452D572"/>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45A230C"/>
    <w:multiLevelType w:val="hybridMultilevel"/>
    <w:tmpl w:val="A73E6EB2"/>
    <w:lvl w:ilvl="0" w:tplc="7CA08706">
      <w:start w:val="1"/>
      <w:numFmt w:val="decimal"/>
      <w:pStyle w:val="Numberedparagraph"/>
      <w:lvlText w:val="%1."/>
      <w:lvlJc w:val="left"/>
      <w:pPr>
        <w:ind w:left="928" w:hanging="360"/>
      </w:pPr>
      <w:rPr>
        <w:color w:val="auto"/>
      </w:rPr>
    </w:lvl>
    <w:lvl w:ilvl="1" w:tplc="B0B82EFE">
      <w:start w:val="1"/>
      <w:numFmt w:val="lowerLetter"/>
      <w:pStyle w:val="Sub-numberedpara1"/>
      <w:lvlText w:val="%2."/>
      <w:lvlJc w:val="left"/>
      <w:pPr>
        <w:ind w:left="1800" w:hanging="360"/>
      </w:pPr>
      <w:rPr>
        <w:b w:val="0"/>
        <w:bCs w:val="0"/>
      </w:rPr>
    </w:lvl>
    <w:lvl w:ilvl="2" w:tplc="15D61E1A">
      <w:start w:val="1"/>
      <w:numFmt w:val="lowerRoman"/>
      <w:pStyle w:val="Sub-numberedpara2"/>
      <w:lvlText w:val="%3."/>
      <w:lvlJc w:val="left"/>
      <w:pPr>
        <w:ind w:left="2700" w:hanging="360"/>
      </w:pPr>
      <w:rPr>
        <w:rFonts w:hint="default"/>
      </w:r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15:restartNumberingAfterBreak="0">
    <w:nsid w:val="6A614C12"/>
    <w:multiLevelType w:val="multilevel"/>
    <w:tmpl w:val="CAC8EA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7A4095"/>
    <w:multiLevelType w:val="hybridMultilevel"/>
    <w:tmpl w:val="358236C2"/>
    <w:lvl w:ilvl="0" w:tplc="FFFFFFFF">
      <w:start w:val="1"/>
      <w:numFmt w:val="bullet"/>
      <w:lvlText w:val=""/>
      <w:lvlJc w:val="left"/>
      <w:pPr>
        <w:ind w:left="4122" w:hanging="360"/>
      </w:pPr>
      <w:rPr>
        <w:rFonts w:ascii="Symbol" w:hAnsi="Symbol" w:hint="default"/>
      </w:rPr>
    </w:lvl>
    <w:lvl w:ilvl="1" w:tplc="1409000F">
      <w:start w:val="1"/>
      <w:numFmt w:val="decimal"/>
      <w:lvlText w:val="%2."/>
      <w:lvlJc w:val="left"/>
      <w:pPr>
        <w:ind w:left="927" w:hanging="360"/>
      </w:pPr>
    </w:lvl>
    <w:lvl w:ilvl="2" w:tplc="FFFFFFFF">
      <w:start w:val="1"/>
      <w:numFmt w:val="bullet"/>
      <w:lvlText w:val="-"/>
      <w:lvlJc w:val="left"/>
      <w:pPr>
        <w:ind w:left="5562" w:hanging="360"/>
      </w:pPr>
      <w:rPr>
        <w:rFonts w:ascii="Courier New" w:hAnsi="Courier New" w:hint="default"/>
      </w:rPr>
    </w:lvl>
    <w:lvl w:ilvl="3" w:tplc="FFFFFFFF" w:tentative="1">
      <w:start w:val="1"/>
      <w:numFmt w:val="bullet"/>
      <w:lvlText w:val=""/>
      <w:lvlJc w:val="left"/>
      <w:pPr>
        <w:ind w:left="6282" w:hanging="360"/>
      </w:pPr>
      <w:rPr>
        <w:rFonts w:ascii="Arial" w:hAnsi="Arial" w:hint="default"/>
      </w:rPr>
    </w:lvl>
    <w:lvl w:ilvl="4" w:tplc="FFFFFFFF" w:tentative="1">
      <w:start w:val="1"/>
      <w:numFmt w:val="bullet"/>
      <w:lvlText w:val="o"/>
      <w:lvlJc w:val="left"/>
      <w:pPr>
        <w:ind w:left="7002" w:hanging="360"/>
      </w:pPr>
      <w:rPr>
        <w:rFonts w:ascii="Segoe UI Emoji" w:hAnsi="Segoe UI Emoji" w:cs="Segoe UI Emoji" w:hint="default"/>
      </w:rPr>
    </w:lvl>
    <w:lvl w:ilvl="5" w:tplc="FFFFFFFF" w:tentative="1">
      <w:start w:val="1"/>
      <w:numFmt w:val="bullet"/>
      <w:lvlText w:val=""/>
      <w:lvlJc w:val="left"/>
      <w:pPr>
        <w:ind w:left="7722" w:hanging="360"/>
      </w:pPr>
      <w:rPr>
        <w:rFonts w:ascii="Yu Gothic Light" w:hAnsi="Yu Gothic Light" w:hint="default"/>
      </w:rPr>
    </w:lvl>
    <w:lvl w:ilvl="6" w:tplc="FFFFFFFF" w:tentative="1">
      <w:start w:val="1"/>
      <w:numFmt w:val="bullet"/>
      <w:lvlText w:val=""/>
      <w:lvlJc w:val="left"/>
      <w:pPr>
        <w:ind w:left="8442" w:hanging="360"/>
      </w:pPr>
      <w:rPr>
        <w:rFonts w:ascii="Arial" w:hAnsi="Arial" w:hint="default"/>
      </w:rPr>
    </w:lvl>
    <w:lvl w:ilvl="7" w:tplc="FFFFFFFF" w:tentative="1">
      <w:start w:val="1"/>
      <w:numFmt w:val="bullet"/>
      <w:lvlText w:val="o"/>
      <w:lvlJc w:val="left"/>
      <w:pPr>
        <w:ind w:left="9162" w:hanging="360"/>
      </w:pPr>
      <w:rPr>
        <w:rFonts w:ascii="Segoe UI Emoji" w:hAnsi="Segoe UI Emoji" w:cs="Segoe UI Emoji" w:hint="default"/>
      </w:rPr>
    </w:lvl>
    <w:lvl w:ilvl="8" w:tplc="FFFFFFFF" w:tentative="1">
      <w:start w:val="1"/>
      <w:numFmt w:val="bullet"/>
      <w:lvlText w:val=""/>
      <w:lvlJc w:val="left"/>
      <w:pPr>
        <w:ind w:left="9882" w:hanging="360"/>
      </w:pPr>
      <w:rPr>
        <w:rFonts w:ascii="Yu Gothic Light" w:hAnsi="Yu Gothic Light" w:hint="default"/>
      </w:rPr>
    </w:lvl>
  </w:abstractNum>
  <w:num w:numId="1" w16cid:durableId="80488102">
    <w:abstractNumId w:val="2"/>
  </w:num>
  <w:num w:numId="2" w16cid:durableId="411465187">
    <w:abstractNumId w:val="1"/>
  </w:num>
  <w:num w:numId="3" w16cid:durableId="20977734">
    <w:abstractNumId w:val="0"/>
  </w:num>
  <w:num w:numId="4" w16cid:durableId="1931111347">
    <w:abstractNumId w:val="5"/>
  </w:num>
  <w:num w:numId="5" w16cid:durableId="212278286">
    <w:abstractNumId w:val="6"/>
  </w:num>
  <w:num w:numId="6" w16cid:durableId="1981306544">
    <w:abstractNumId w:val="4"/>
  </w:num>
  <w:num w:numId="7" w16cid:durableId="1535970398">
    <w:abstractNumId w:val="8"/>
  </w:num>
  <w:num w:numId="8" w16cid:durableId="1548451221">
    <w:abstractNumId w:val="3"/>
  </w:num>
  <w:num w:numId="9" w16cid:durableId="942806924">
    <w:abstractNumId w:val="7"/>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D5"/>
    <w:rsid w:val="00056467"/>
    <w:rsid w:val="00057D88"/>
    <w:rsid w:val="00082498"/>
    <w:rsid w:val="000902FB"/>
    <w:rsid w:val="00094EF0"/>
    <w:rsid w:val="000955FF"/>
    <w:rsid w:val="00122ABB"/>
    <w:rsid w:val="00127809"/>
    <w:rsid w:val="0013030A"/>
    <w:rsid w:val="001310E9"/>
    <w:rsid w:val="0014246F"/>
    <w:rsid w:val="001536A1"/>
    <w:rsid w:val="00157E1A"/>
    <w:rsid w:val="00170060"/>
    <w:rsid w:val="00180002"/>
    <w:rsid w:val="00191000"/>
    <w:rsid w:val="00193B47"/>
    <w:rsid w:val="001A055A"/>
    <w:rsid w:val="001A2790"/>
    <w:rsid w:val="001A64F9"/>
    <w:rsid w:val="001B05D4"/>
    <w:rsid w:val="001B6FB4"/>
    <w:rsid w:val="001C1791"/>
    <w:rsid w:val="001C68C9"/>
    <w:rsid w:val="001C75AB"/>
    <w:rsid w:val="001D0C75"/>
    <w:rsid w:val="001E788E"/>
    <w:rsid w:val="00201ED5"/>
    <w:rsid w:val="00226CC2"/>
    <w:rsid w:val="002303E6"/>
    <w:rsid w:val="00245618"/>
    <w:rsid w:val="002510D1"/>
    <w:rsid w:val="00260EE6"/>
    <w:rsid w:val="00263A53"/>
    <w:rsid w:val="00263C19"/>
    <w:rsid w:val="00264529"/>
    <w:rsid w:val="00281A2A"/>
    <w:rsid w:val="002827C5"/>
    <w:rsid w:val="002B5BFA"/>
    <w:rsid w:val="002E0F6B"/>
    <w:rsid w:val="002F6A6D"/>
    <w:rsid w:val="0030402B"/>
    <w:rsid w:val="003204E6"/>
    <w:rsid w:val="0038175B"/>
    <w:rsid w:val="00384A55"/>
    <w:rsid w:val="003C5596"/>
    <w:rsid w:val="003D57C5"/>
    <w:rsid w:val="003E066B"/>
    <w:rsid w:val="003E17F6"/>
    <w:rsid w:val="003F26DD"/>
    <w:rsid w:val="00402272"/>
    <w:rsid w:val="0040678A"/>
    <w:rsid w:val="004205C7"/>
    <w:rsid w:val="00424EF5"/>
    <w:rsid w:val="00425FD4"/>
    <w:rsid w:val="00452B48"/>
    <w:rsid w:val="0045712F"/>
    <w:rsid w:val="00461D20"/>
    <w:rsid w:val="00466295"/>
    <w:rsid w:val="004727CE"/>
    <w:rsid w:val="0048085F"/>
    <w:rsid w:val="00485820"/>
    <w:rsid w:val="00495FC6"/>
    <w:rsid w:val="00496386"/>
    <w:rsid w:val="004A2E52"/>
    <w:rsid w:val="005273FE"/>
    <w:rsid w:val="00536D94"/>
    <w:rsid w:val="005426FE"/>
    <w:rsid w:val="00546791"/>
    <w:rsid w:val="00547F14"/>
    <w:rsid w:val="00553BB8"/>
    <w:rsid w:val="0055774E"/>
    <w:rsid w:val="00564A72"/>
    <w:rsid w:val="0057592B"/>
    <w:rsid w:val="00586D70"/>
    <w:rsid w:val="005B0236"/>
    <w:rsid w:val="005D019A"/>
    <w:rsid w:val="005E01F3"/>
    <w:rsid w:val="00613ACC"/>
    <w:rsid w:val="00652832"/>
    <w:rsid w:val="0065574B"/>
    <w:rsid w:val="00681597"/>
    <w:rsid w:val="00693B1F"/>
    <w:rsid w:val="006944DC"/>
    <w:rsid w:val="006A532F"/>
    <w:rsid w:val="006C0591"/>
    <w:rsid w:val="006F2E86"/>
    <w:rsid w:val="006F7ABF"/>
    <w:rsid w:val="0071022F"/>
    <w:rsid w:val="00715A19"/>
    <w:rsid w:val="00725595"/>
    <w:rsid w:val="00733ED3"/>
    <w:rsid w:val="00747B7C"/>
    <w:rsid w:val="00750234"/>
    <w:rsid w:val="00750868"/>
    <w:rsid w:val="007700D3"/>
    <w:rsid w:val="00777A26"/>
    <w:rsid w:val="0079066F"/>
    <w:rsid w:val="007975CE"/>
    <w:rsid w:val="00797A8A"/>
    <w:rsid w:val="007A7DC5"/>
    <w:rsid w:val="007B5FF3"/>
    <w:rsid w:val="007E02C6"/>
    <w:rsid w:val="007E0C67"/>
    <w:rsid w:val="007F169D"/>
    <w:rsid w:val="0080775B"/>
    <w:rsid w:val="008166C7"/>
    <w:rsid w:val="0083218D"/>
    <w:rsid w:val="00844FB9"/>
    <w:rsid w:val="008603C5"/>
    <w:rsid w:val="008714A6"/>
    <w:rsid w:val="008A30CF"/>
    <w:rsid w:val="008B0B84"/>
    <w:rsid w:val="008C39EA"/>
    <w:rsid w:val="008D4E0F"/>
    <w:rsid w:val="008E7EB4"/>
    <w:rsid w:val="008F3833"/>
    <w:rsid w:val="00927E46"/>
    <w:rsid w:val="00930DFD"/>
    <w:rsid w:val="009508BB"/>
    <w:rsid w:val="00955711"/>
    <w:rsid w:val="00965B2B"/>
    <w:rsid w:val="009676E9"/>
    <w:rsid w:val="00976C94"/>
    <w:rsid w:val="0099553F"/>
    <w:rsid w:val="009A5939"/>
    <w:rsid w:val="009C675E"/>
    <w:rsid w:val="00A418BB"/>
    <w:rsid w:val="00A44DEF"/>
    <w:rsid w:val="00A841AC"/>
    <w:rsid w:val="00A95F52"/>
    <w:rsid w:val="00AB3F8B"/>
    <w:rsid w:val="00B006C7"/>
    <w:rsid w:val="00B2419F"/>
    <w:rsid w:val="00B31CDB"/>
    <w:rsid w:val="00B35A2F"/>
    <w:rsid w:val="00B41CAE"/>
    <w:rsid w:val="00B51883"/>
    <w:rsid w:val="00B701EF"/>
    <w:rsid w:val="00BA3CC3"/>
    <w:rsid w:val="00BB125C"/>
    <w:rsid w:val="00BF4ADE"/>
    <w:rsid w:val="00C61F56"/>
    <w:rsid w:val="00C64B69"/>
    <w:rsid w:val="00C87A9A"/>
    <w:rsid w:val="00C97F24"/>
    <w:rsid w:val="00CA0C37"/>
    <w:rsid w:val="00CA4CA0"/>
    <w:rsid w:val="00CA6952"/>
    <w:rsid w:val="00CC4B68"/>
    <w:rsid w:val="00CD045D"/>
    <w:rsid w:val="00CF2180"/>
    <w:rsid w:val="00D12B3C"/>
    <w:rsid w:val="00D169FA"/>
    <w:rsid w:val="00D44138"/>
    <w:rsid w:val="00D932E5"/>
    <w:rsid w:val="00D9372B"/>
    <w:rsid w:val="00DA3BFB"/>
    <w:rsid w:val="00DA4D71"/>
    <w:rsid w:val="00DA7B1F"/>
    <w:rsid w:val="00DC077C"/>
    <w:rsid w:val="00DD5FDC"/>
    <w:rsid w:val="00DE14C6"/>
    <w:rsid w:val="00DE71D5"/>
    <w:rsid w:val="00E10AC6"/>
    <w:rsid w:val="00E86ED7"/>
    <w:rsid w:val="00EB41B5"/>
    <w:rsid w:val="00EB74FB"/>
    <w:rsid w:val="00EC1119"/>
    <w:rsid w:val="00ED3F7B"/>
    <w:rsid w:val="00EE7B69"/>
    <w:rsid w:val="00EF3D86"/>
    <w:rsid w:val="00EF62F7"/>
    <w:rsid w:val="00F35684"/>
    <w:rsid w:val="00F466D3"/>
    <w:rsid w:val="00F75028"/>
    <w:rsid w:val="00F76FE1"/>
    <w:rsid w:val="00FE440E"/>
    <w:rsid w:val="00FE76B7"/>
    <w:rsid w:val="2D5BEB80"/>
    <w:rsid w:val="46C86740"/>
    <w:rsid w:val="4A9523FA"/>
    <w:rsid w:val="719A88B6"/>
    <w:rsid w:val="7366CA8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A625"/>
  <w15:chartTrackingRefBased/>
  <w15:docId w15:val="{6621FBE8-6A44-4BE8-97FD-102226903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84"/>
    <w:pPr>
      <w:spacing w:after="120" w:line="276" w:lineRule="auto"/>
      <w:jc w:val="both"/>
    </w:pPr>
    <w:rPr>
      <w:rFonts w:eastAsiaTheme="minorEastAsia"/>
      <w:szCs w:val="21"/>
    </w:rPr>
  </w:style>
  <w:style w:type="paragraph" w:styleId="Heading1">
    <w:name w:val="heading 1"/>
    <w:basedOn w:val="Normal"/>
    <w:next w:val="Normal"/>
    <w:link w:val="Heading1Char"/>
    <w:uiPriority w:val="9"/>
    <w:qFormat/>
    <w:rsid w:val="00245618"/>
    <w:pPr>
      <w:keepNext/>
      <w:keepLines/>
      <w:spacing w:after="240" w:line="240" w:lineRule="auto"/>
      <w:ind w:left="360" w:hanging="360"/>
      <w:outlineLvl w:val="0"/>
    </w:pPr>
    <w:rPr>
      <w:rFonts w:eastAsiaTheme="majorEastAsia" w:cstheme="minorHAnsi"/>
      <w:b/>
      <w:sz w:val="32"/>
      <w:szCs w:val="22"/>
    </w:rPr>
  </w:style>
  <w:style w:type="paragraph" w:styleId="Heading2">
    <w:name w:val="heading 2"/>
    <w:basedOn w:val="Normal"/>
    <w:next w:val="Normal"/>
    <w:link w:val="Heading2Char"/>
    <w:uiPriority w:val="9"/>
    <w:unhideWhenUsed/>
    <w:qFormat/>
    <w:rsid w:val="00245618"/>
    <w:pPr>
      <w:keepNext/>
      <w:keepLines/>
      <w:spacing w:before="240" w:after="240" w:line="240" w:lineRule="auto"/>
      <w:outlineLvl w:val="1"/>
    </w:pPr>
    <w:rPr>
      <w:rFonts w:eastAsiaTheme="majorEastAsia" w:cstheme="minorHAnsi"/>
      <w:b/>
      <w:bCs/>
      <w:sz w:val="28"/>
      <w:szCs w:val="28"/>
    </w:rPr>
  </w:style>
  <w:style w:type="paragraph" w:styleId="Heading3">
    <w:name w:val="heading 3"/>
    <w:basedOn w:val="Heading2"/>
    <w:next w:val="Normal"/>
    <w:link w:val="Heading3Char"/>
    <w:uiPriority w:val="9"/>
    <w:unhideWhenUsed/>
    <w:qFormat/>
    <w:rsid w:val="005273FE"/>
    <w:pPr>
      <w:ind w:left="851" w:hanging="851"/>
      <w:outlineLvl w:val="2"/>
    </w:pPr>
    <w:rPr>
      <w:rFonts w:ascii="Calibri" w:hAnsi="Calibri" w:cs="Calibri"/>
      <w:sz w:val="24"/>
      <w:szCs w:val="22"/>
    </w:rPr>
  </w:style>
  <w:style w:type="paragraph" w:styleId="Heading4">
    <w:name w:val="heading 4"/>
    <w:basedOn w:val="Heading3"/>
    <w:next w:val="Normal"/>
    <w:link w:val="Heading4Char"/>
    <w:uiPriority w:val="9"/>
    <w:unhideWhenUsed/>
    <w:qFormat/>
    <w:rsid w:val="00F35684"/>
    <w:pPr>
      <w:numPr>
        <w:ilvl w:val="3"/>
      </w:numPr>
      <w:ind w:left="851" w:hanging="851"/>
      <w:outlineLvl w:val="3"/>
    </w:pPr>
    <w:rPr>
      <w:sz w:val="22"/>
    </w:rPr>
  </w:style>
  <w:style w:type="paragraph" w:styleId="Heading5">
    <w:name w:val="heading 5"/>
    <w:basedOn w:val="Heading4"/>
    <w:next w:val="Normal"/>
    <w:link w:val="Heading5Char"/>
    <w:uiPriority w:val="9"/>
    <w:unhideWhenUsed/>
    <w:qFormat/>
    <w:rsid w:val="00F35684"/>
    <w:pPr>
      <w:numPr>
        <w:ilvl w:val="0"/>
      </w:numPr>
      <w:ind w:left="851" w:hanging="851"/>
      <w:outlineLvl w:val="4"/>
    </w:pPr>
  </w:style>
  <w:style w:type="paragraph" w:styleId="Heading6">
    <w:name w:val="heading 6"/>
    <w:basedOn w:val="Heading5"/>
    <w:next w:val="Normal"/>
    <w:link w:val="Heading6Char"/>
    <w:uiPriority w:val="9"/>
    <w:unhideWhenUsed/>
    <w:qFormat/>
    <w:rsid w:val="003D57C5"/>
    <w:pPr>
      <w:outlineLvl w:val="5"/>
    </w:pPr>
    <w:rPr>
      <w:b w:val="0"/>
      <w:bCs w:val="0"/>
      <w:u w:val="single"/>
    </w:rPr>
  </w:style>
  <w:style w:type="paragraph" w:styleId="Heading7">
    <w:name w:val="heading 7"/>
    <w:basedOn w:val="Heading6"/>
    <w:next w:val="Normal"/>
    <w:link w:val="Heading7Char"/>
    <w:uiPriority w:val="9"/>
    <w:unhideWhenUsed/>
    <w:qFormat/>
    <w:rsid w:val="003D57C5"/>
    <w:pPr>
      <w:outlineLvl w:val="6"/>
    </w:pPr>
    <w:rPr>
      <w:lang w:val="en-GB"/>
    </w:rPr>
  </w:style>
  <w:style w:type="paragraph" w:styleId="Heading8">
    <w:name w:val="heading 8"/>
    <w:basedOn w:val="Normal"/>
    <w:next w:val="Normal"/>
    <w:link w:val="Heading8Char"/>
    <w:uiPriority w:val="9"/>
    <w:semiHidden/>
    <w:unhideWhenUsed/>
    <w:rsid w:val="003D5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Bulletedlist"/>
    <w:link w:val="BulletsChar"/>
    <w:qFormat/>
    <w:rsid w:val="00056467"/>
  </w:style>
  <w:style w:type="character" w:customStyle="1" w:styleId="BulletsChar">
    <w:name w:val="Bullets Char"/>
    <w:basedOn w:val="DefaultParagraphFont"/>
    <w:link w:val="Bullets"/>
    <w:rsid w:val="00056467"/>
    <w:rPr>
      <w:rFonts w:ascii="Calibri" w:eastAsiaTheme="minorEastAsia" w:hAnsi="Calibri"/>
      <w:szCs w:val="21"/>
    </w:rPr>
  </w:style>
  <w:style w:type="paragraph" w:styleId="ListParagraph">
    <w:name w:val="List Paragraph"/>
    <w:basedOn w:val="Normal"/>
    <w:uiPriority w:val="34"/>
    <w:qFormat/>
    <w:rsid w:val="005E01F3"/>
    <w:pPr>
      <w:ind w:left="720"/>
      <w:contextualSpacing/>
    </w:pPr>
  </w:style>
  <w:style w:type="character" w:customStyle="1" w:styleId="Heading1Char">
    <w:name w:val="Heading 1 Char"/>
    <w:basedOn w:val="DefaultParagraphFont"/>
    <w:link w:val="Heading1"/>
    <w:uiPriority w:val="9"/>
    <w:rsid w:val="00245618"/>
    <w:rPr>
      <w:rFonts w:eastAsiaTheme="majorEastAsia" w:cstheme="minorHAnsi"/>
      <w:b/>
      <w:sz w:val="32"/>
    </w:rPr>
  </w:style>
  <w:style w:type="character" w:customStyle="1" w:styleId="Heading2Char">
    <w:name w:val="Heading 2 Char"/>
    <w:basedOn w:val="DefaultParagraphFont"/>
    <w:link w:val="Heading2"/>
    <w:uiPriority w:val="9"/>
    <w:rsid w:val="00245618"/>
    <w:rPr>
      <w:rFonts w:eastAsiaTheme="majorEastAsia" w:cstheme="minorHAnsi"/>
      <w:b/>
      <w:bCs/>
      <w:sz w:val="28"/>
      <w:szCs w:val="28"/>
    </w:rPr>
  </w:style>
  <w:style w:type="character" w:customStyle="1" w:styleId="Heading3Char">
    <w:name w:val="Heading 3 Char"/>
    <w:basedOn w:val="DefaultParagraphFont"/>
    <w:link w:val="Heading3"/>
    <w:uiPriority w:val="9"/>
    <w:rsid w:val="005273FE"/>
    <w:rPr>
      <w:rFonts w:ascii="Calibri" w:eastAsiaTheme="majorEastAsia" w:hAnsi="Calibri" w:cs="Calibri"/>
      <w:b/>
      <w:bCs/>
      <w:sz w:val="24"/>
    </w:rPr>
  </w:style>
  <w:style w:type="character" w:customStyle="1" w:styleId="Heading4Char">
    <w:name w:val="Heading 4 Char"/>
    <w:basedOn w:val="DefaultParagraphFont"/>
    <w:link w:val="Heading4"/>
    <w:uiPriority w:val="9"/>
    <w:rsid w:val="00F35684"/>
    <w:rPr>
      <w:rFonts w:ascii="Calibri" w:eastAsiaTheme="majorEastAsia" w:hAnsi="Calibri" w:cs="Calibri"/>
      <w:b/>
      <w:bCs/>
      <w:color w:val="1F3864" w:themeColor="accent1" w:themeShade="80"/>
    </w:rPr>
  </w:style>
  <w:style w:type="character" w:customStyle="1" w:styleId="Heading5Char">
    <w:name w:val="Heading 5 Char"/>
    <w:basedOn w:val="DefaultParagraphFont"/>
    <w:link w:val="Heading5"/>
    <w:uiPriority w:val="9"/>
    <w:rsid w:val="00F35684"/>
    <w:rPr>
      <w:rFonts w:ascii="Calibri" w:eastAsiaTheme="majorEastAsia" w:hAnsi="Calibri" w:cs="Calibri"/>
      <w:b/>
      <w:bCs/>
      <w:color w:val="1F3864" w:themeColor="accent1" w:themeShade="80"/>
    </w:rPr>
  </w:style>
  <w:style w:type="paragraph" w:customStyle="1" w:styleId="Numberedparagraph">
    <w:name w:val="Numbered paragraph"/>
    <w:basedOn w:val="ListParagraph"/>
    <w:link w:val="NumberedparagraphChar"/>
    <w:qFormat/>
    <w:rsid w:val="00056467"/>
    <w:pPr>
      <w:numPr>
        <w:numId w:val="5"/>
      </w:numPr>
      <w:ind w:left="567" w:hanging="567"/>
      <w:contextualSpacing w:val="0"/>
    </w:pPr>
  </w:style>
  <w:style w:type="character" w:customStyle="1" w:styleId="NumberedparagraphChar">
    <w:name w:val="Numbered paragraph Char"/>
    <w:basedOn w:val="DefaultParagraphFont"/>
    <w:link w:val="Numberedparagraph"/>
    <w:rsid w:val="00056467"/>
    <w:rPr>
      <w:rFonts w:eastAsiaTheme="minorEastAsia"/>
      <w:szCs w:val="21"/>
    </w:rPr>
  </w:style>
  <w:style w:type="paragraph" w:customStyle="1" w:styleId="Sub-numberedpara1">
    <w:name w:val="Sub-numbered para 1"/>
    <w:basedOn w:val="Numberedparagraph"/>
    <w:link w:val="Sub-numberedpara1Char"/>
    <w:qFormat/>
    <w:rsid w:val="00056467"/>
    <w:pPr>
      <w:numPr>
        <w:ilvl w:val="1"/>
      </w:numPr>
      <w:tabs>
        <w:tab w:val="num" w:pos="360"/>
      </w:tabs>
      <w:ind w:left="1134" w:hanging="567"/>
    </w:pPr>
  </w:style>
  <w:style w:type="paragraph" w:customStyle="1" w:styleId="Bulletedlist">
    <w:name w:val="Bulleted list"/>
    <w:basedOn w:val="Normal"/>
    <w:link w:val="BulletedlistChar"/>
    <w:rsid w:val="00056467"/>
    <w:pPr>
      <w:numPr>
        <w:numId w:val="3"/>
      </w:numPr>
      <w:ind w:left="567" w:hanging="567"/>
      <w:contextualSpacing/>
    </w:pPr>
    <w:rPr>
      <w:rFonts w:ascii="Calibri" w:hAnsi="Calibri"/>
    </w:rPr>
  </w:style>
  <w:style w:type="character" w:customStyle="1" w:styleId="BulletedlistChar">
    <w:name w:val="Bulleted list Char"/>
    <w:basedOn w:val="DefaultParagraphFont"/>
    <w:link w:val="Bulletedlist"/>
    <w:rsid w:val="00056467"/>
    <w:rPr>
      <w:rFonts w:ascii="Calibri" w:eastAsiaTheme="minorEastAsia" w:hAnsi="Calibri"/>
      <w:szCs w:val="21"/>
    </w:rPr>
  </w:style>
  <w:style w:type="paragraph" w:customStyle="1" w:styleId="Sub-bullets">
    <w:name w:val="Sub-bullets"/>
    <w:basedOn w:val="Bulletedlist"/>
    <w:link w:val="Sub-bulletsChar"/>
    <w:qFormat/>
    <w:rsid w:val="00056467"/>
    <w:pPr>
      <w:numPr>
        <w:ilvl w:val="1"/>
      </w:numPr>
      <w:ind w:left="1134" w:hanging="567"/>
    </w:pPr>
  </w:style>
  <w:style w:type="character" w:customStyle="1" w:styleId="Heading6Char">
    <w:name w:val="Heading 6 Char"/>
    <w:basedOn w:val="DefaultParagraphFont"/>
    <w:link w:val="Heading6"/>
    <w:uiPriority w:val="9"/>
    <w:rsid w:val="003D57C5"/>
    <w:rPr>
      <w:rFonts w:ascii="Calibri" w:eastAsiaTheme="majorEastAsia" w:hAnsi="Calibri" w:cs="Calibri"/>
      <w:color w:val="1F3864" w:themeColor="accent1" w:themeShade="80"/>
      <w:u w:val="single"/>
    </w:rPr>
  </w:style>
  <w:style w:type="paragraph" w:customStyle="1" w:styleId="Sub-bullet2">
    <w:name w:val="Sub-bullet 2"/>
    <w:basedOn w:val="Sub-bullets"/>
    <w:link w:val="Sub-bullet2Char"/>
    <w:qFormat/>
    <w:rsid w:val="00056467"/>
    <w:pPr>
      <w:numPr>
        <w:ilvl w:val="2"/>
      </w:numPr>
      <w:ind w:left="1701" w:hanging="567"/>
    </w:pPr>
  </w:style>
  <w:style w:type="paragraph" w:styleId="FootnoteText">
    <w:name w:val="footnote text"/>
    <w:basedOn w:val="Normal"/>
    <w:link w:val="FootnoteTextChar"/>
    <w:uiPriority w:val="99"/>
    <w:unhideWhenUsed/>
    <w:rsid w:val="00056467"/>
    <w:pPr>
      <w:spacing w:after="0" w:line="240" w:lineRule="auto"/>
    </w:pPr>
    <w:rPr>
      <w:sz w:val="20"/>
      <w:szCs w:val="20"/>
    </w:rPr>
  </w:style>
  <w:style w:type="character" w:customStyle="1" w:styleId="Sub-bulletsChar">
    <w:name w:val="Sub-bullets Char"/>
    <w:basedOn w:val="BulletedlistChar"/>
    <w:link w:val="Sub-bullets"/>
    <w:rsid w:val="00056467"/>
    <w:rPr>
      <w:rFonts w:ascii="Calibri" w:eastAsiaTheme="minorEastAsia" w:hAnsi="Calibri"/>
      <w:szCs w:val="21"/>
    </w:rPr>
  </w:style>
  <w:style w:type="character" w:customStyle="1" w:styleId="Sub-bullet2Char">
    <w:name w:val="Sub-bullet 2 Char"/>
    <w:basedOn w:val="Sub-bulletsChar"/>
    <w:link w:val="Sub-bullet2"/>
    <w:rsid w:val="00056467"/>
    <w:rPr>
      <w:rFonts w:ascii="Calibri" w:eastAsiaTheme="minorEastAsia" w:hAnsi="Calibri"/>
      <w:szCs w:val="21"/>
    </w:rPr>
  </w:style>
  <w:style w:type="character" w:customStyle="1" w:styleId="FootnoteTextChar">
    <w:name w:val="Footnote Text Char"/>
    <w:basedOn w:val="DefaultParagraphFont"/>
    <w:link w:val="FootnoteText"/>
    <w:uiPriority w:val="99"/>
    <w:rsid w:val="00056467"/>
    <w:rPr>
      <w:rFonts w:eastAsiaTheme="minorEastAsia"/>
      <w:sz w:val="20"/>
      <w:szCs w:val="20"/>
    </w:rPr>
  </w:style>
  <w:style w:type="character" w:styleId="FootnoteReference">
    <w:name w:val="footnote reference"/>
    <w:basedOn w:val="DefaultParagraphFont"/>
    <w:uiPriority w:val="99"/>
    <w:semiHidden/>
    <w:unhideWhenUsed/>
    <w:rsid w:val="00056467"/>
    <w:rPr>
      <w:vertAlign w:val="superscript"/>
    </w:rPr>
  </w:style>
  <w:style w:type="paragraph" w:styleId="Quote">
    <w:name w:val="Quote"/>
    <w:basedOn w:val="Sub-bullet2"/>
    <w:next w:val="Normal"/>
    <w:link w:val="QuoteChar"/>
    <w:uiPriority w:val="29"/>
    <w:rsid w:val="00056467"/>
    <w:pPr>
      <w:numPr>
        <w:ilvl w:val="0"/>
        <w:numId w:val="0"/>
      </w:numPr>
      <w:ind w:left="567"/>
    </w:pPr>
    <w:rPr>
      <w:i/>
      <w:iCs/>
    </w:rPr>
  </w:style>
  <w:style w:type="character" w:customStyle="1" w:styleId="QuoteChar">
    <w:name w:val="Quote Char"/>
    <w:basedOn w:val="DefaultParagraphFont"/>
    <w:link w:val="Quote"/>
    <w:uiPriority w:val="29"/>
    <w:rsid w:val="00056467"/>
    <w:rPr>
      <w:rFonts w:ascii="Calibri" w:eastAsiaTheme="minorEastAsia" w:hAnsi="Calibri"/>
      <w:i/>
      <w:iCs/>
      <w:szCs w:val="21"/>
    </w:rPr>
  </w:style>
  <w:style w:type="paragraph" w:customStyle="1" w:styleId="Sub-numberedpara2">
    <w:name w:val="Sub-numbered para 2"/>
    <w:basedOn w:val="Sub-numberedpara1"/>
    <w:link w:val="Sub-numberedpara2Char"/>
    <w:qFormat/>
    <w:rsid w:val="00056467"/>
    <w:pPr>
      <w:numPr>
        <w:ilvl w:val="2"/>
      </w:numPr>
      <w:ind w:left="1701" w:hanging="567"/>
    </w:pPr>
  </w:style>
  <w:style w:type="character" w:customStyle="1" w:styleId="Sub-numberedpara1Char">
    <w:name w:val="Sub-numbered para 1 Char"/>
    <w:basedOn w:val="NumberedparagraphChar"/>
    <w:link w:val="Sub-numberedpara1"/>
    <w:rsid w:val="00056467"/>
    <w:rPr>
      <w:rFonts w:eastAsiaTheme="minorEastAsia"/>
      <w:szCs w:val="21"/>
    </w:rPr>
  </w:style>
  <w:style w:type="character" w:customStyle="1" w:styleId="Sub-numberedpara2Char">
    <w:name w:val="Sub-numbered para 2 Char"/>
    <w:basedOn w:val="Sub-numberedpara1Char"/>
    <w:link w:val="Sub-numberedpara2"/>
    <w:rsid w:val="00056467"/>
    <w:rPr>
      <w:rFonts w:eastAsiaTheme="minorEastAsia"/>
      <w:szCs w:val="21"/>
    </w:rPr>
  </w:style>
  <w:style w:type="character" w:customStyle="1" w:styleId="Heading7Char">
    <w:name w:val="Heading 7 Char"/>
    <w:basedOn w:val="DefaultParagraphFont"/>
    <w:link w:val="Heading7"/>
    <w:uiPriority w:val="9"/>
    <w:rsid w:val="003D57C5"/>
    <w:rPr>
      <w:rFonts w:ascii="Calibri" w:eastAsiaTheme="majorEastAsia" w:hAnsi="Calibri" w:cs="Calibri"/>
      <w:color w:val="1F3864" w:themeColor="accent1" w:themeShade="80"/>
      <w:lang w:val="en-GB"/>
    </w:rPr>
  </w:style>
  <w:style w:type="character" w:customStyle="1" w:styleId="Heading8Char">
    <w:name w:val="Heading 8 Char"/>
    <w:basedOn w:val="DefaultParagraphFont"/>
    <w:link w:val="Heading8"/>
    <w:uiPriority w:val="9"/>
    <w:semiHidden/>
    <w:rsid w:val="003D57C5"/>
    <w:rPr>
      <w:rFonts w:eastAsiaTheme="majorEastAsia" w:cstheme="majorBidi"/>
      <w:i/>
      <w:iCs/>
      <w:color w:val="272727" w:themeColor="text1" w:themeTint="D8"/>
      <w:szCs w:val="21"/>
    </w:rPr>
  </w:style>
  <w:style w:type="character" w:customStyle="1" w:styleId="Heading9Char">
    <w:name w:val="Heading 9 Char"/>
    <w:basedOn w:val="DefaultParagraphFont"/>
    <w:link w:val="Heading9"/>
    <w:uiPriority w:val="9"/>
    <w:semiHidden/>
    <w:rsid w:val="003D57C5"/>
    <w:rPr>
      <w:rFonts w:eastAsiaTheme="majorEastAsia" w:cstheme="majorBidi"/>
      <w:color w:val="272727" w:themeColor="text1" w:themeTint="D8"/>
      <w:szCs w:val="21"/>
    </w:rPr>
  </w:style>
  <w:style w:type="paragraph" w:styleId="Title">
    <w:name w:val="Title"/>
    <w:basedOn w:val="Normal"/>
    <w:next w:val="Normal"/>
    <w:link w:val="TitleChar"/>
    <w:uiPriority w:val="10"/>
    <w:rsid w:val="003D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7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3D57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C5"/>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rsid w:val="003D57C5"/>
    <w:rPr>
      <w:i/>
      <w:iCs/>
      <w:color w:val="2F5496" w:themeColor="accent1" w:themeShade="BF"/>
    </w:rPr>
  </w:style>
  <w:style w:type="paragraph" w:styleId="IntenseQuote">
    <w:name w:val="Intense Quote"/>
    <w:basedOn w:val="Normal"/>
    <w:next w:val="Normal"/>
    <w:link w:val="IntenseQuoteChar"/>
    <w:uiPriority w:val="30"/>
    <w:rsid w:val="003D57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57C5"/>
    <w:rPr>
      <w:rFonts w:eastAsiaTheme="minorEastAsia"/>
      <w:i/>
      <w:iCs/>
      <w:color w:val="2F5496" w:themeColor="accent1" w:themeShade="BF"/>
      <w:szCs w:val="21"/>
    </w:rPr>
  </w:style>
  <w:style w:type="character" w:styleId="IntenseReference">
    <w:name w:val="Intense Reference"/>
    <w:basedOn w:val="DefaultParagraphFont"/>
    <w:uiPriority w:val="32"/>
    <w:rsid w:val="003D57C5"/>
    <w:rPr>
      <w:b/>
      <w:bCs/>
      <w:smallCaps/>
      <w:color w:val="2F5496" w:themeColor="accent1" w:themeShade="BF"/>
      <w:spacing w:val="5"/>
    </w:rPr>
  </w:style>
  <w:style w:type="character" w:styleId="Hyperlink">
    <w:name w:val="Hyperlink"/>
    <w:basedOn w:val="DefaultParagraphFont"/>
    <w:uiPriority w:val="99"/>
    <w:unhideWhenUsed/>
    <w:rsid w:val="00201ED5"/>
    <w:rPr>
      <w:color w:val="0563C1" w:themeColor="hyperlink"/>
      <w:u w:val="single"/>
    </w:rPr>
  </w:style>
  <w:style w:type="character" w:styleId="CommentReference">
    <w:name w:val="annotation reference"/>
    <w:basedOn w:val="DefaultParagraphFont"/>
    <w:uiPriority w:val="99"/>
    <w:semiHidden/>
    <w:unhideWhenUsed/>
    <w:rsid w:val="00201ED5"/>
    <w:rPr>
      <w:sz w:val="16"/>
      <w:szCs w:val="16"/>
    </w:rPr>
  </w:style>
  <w:style w:type="paragraph" w:styleId="CommentText">
    <w:name w:val="annotation text"/>
    <w:basedOn w:val="Normal"/>
    <w:link w:val="CommentTextChar"/>
    <w:uiPriority w:val="99"/>
    <w:unhideWhenUsed/>
    <w:rsid w:val="00201ED5"/>
    <w:pPr>
      <w:spacing w:line="240" w:lineRule="auto"/>
    </w:pPr>
    <w:rPr>
      <w:sz w:val="20"/>
      <w:szCs w:val="20"/>
    </w:rPr>
  </w:style>
  <w:style w:type="character" w:customStyle="1" w:styleId="CommentTextChar">
    <w:name w:val="Comment Text Char"/>
    <w:basedOn w:val="DefaultParagraphFont"/>
    <w:link w:val="CommentText"/>
    <w:uiPriority w:val="99"/>
    <w:rsid w:val="00201ED5"/>
    <w:rPr>
      <w:rFonts w:eastAsiaTheme="minorEastAsia"/>
      <w:sz w:val="20"/>
      <w:szCs w:val="20"/>
    </w:rPr>
  </w:style>
  <w:style w:type="paragraph" w:styleId="Footer">
    <w:name w:val="footer"/>
    <w:basedOn w:val="Normal"/>
    <w:link w:val="FooterChar"/>
    <w:uiPriority w:val="99"/>
    <w:unhideWhenUsed/>
    <w:rsid w:val="00201E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ED5"/>
    <w:rPr>
      <w:rFonts w:eastAsiaTheme="minorEastAsia"/>
      <w:szCs w:val="21"/>
    </w:rPr>
  </w:style>
  <w:style w:type="table" w:styleId="TableGrid">
    <w:name w:val="Table Grid"/>
    <w:basedOn w:val="TableNormal"/>
    <w:uiPriority w:val="39"/>
    <w:rsid w:val="0020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5F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F52"/>
    <w:rPr>
      <w:rFonts w:eastAsiaTheme="minorEastAsia"/>
      <w:szCs w:val="21"/>
    </w:rPr>
  </w:style>
  <w:style w:type="paragraph" w:customStyle="1" w:styleId="Clause">
    <w:name w:val="Clause"/>
    <w:basedOn w:val="Normal"/>
    <w:link w:val="ClauseChar"/>
    <w:qFormat/>
    <w:rsid w:val="001C1791"/>
    <w:pPr>
      <w:spacing w:line="259" w:lineRule="auto"/>
      <w:ind w:left="567" w:hanging="567"/>
    </w:pPr>
    <w:rPr>
      <w:rFonts w:ascii="Calibri" w:eastAsiaTheme="minorHAnsi" w:hAnsi="Calibri" w:cs="Calibri"/>
      <w:szCs w:val="22"/>
    </w:rPr>
  </w:style>
  <w:style w:type="character" w:customStyle="1" w:styleId="ClauseChar">
    <w:name w:val="Clause Char"/>
    <w:basedOn w:val="DefaultParagraphFont"/>
    <w:link w:val="Clause"/>
    <w:rsid w:val="001C1791"/>
    <w:rPr>
      <w:rFonts w:ascii="Calibri" w:hAnsi="Calibri" w:cs="Calibri"/>
    </w:rPr>
  </w:style>
  <w:style w:type="paragraph" w:customStyle="1" w:styleId="Clauses2">
    <w:name w:val="Clauses 2"/>
    <w:basedOn w:val="Clause"/>
    <w:link w:val="Clauses2Char"/>
    <w:qFormat/>
    <w:rsid w:val="001C1791"/>
    <w:pPr>
      <w:ind w:left="1134"/>
    </w:pPr>
  </w:style>
  <w:style w:type="character" w:customStyle="1" w:styleId="Clauses2Char">
    <w:name w:val="Clauses 2 Char"/>
    <w:basedOn w:val="DefaultParagraphFont"/>
    <w:link w:val="Clauses2"/>
    <w:rsid w:val="001C1791"/>
    <w:rPr>
      <w:rFonts w:ascii="Calibri" w:hAnsi="Calibri" w:cs="Calibri"/>
    </w:rPr>
  </w:style>
  <w:style w:type="paragraph" w:customStyle="1" w:styleId="Chapeau">
    <w:name w:val="Chapeau"/>
    <w:basedOn w:val="Normal"/>
    <w:link w:val="ChapeauChar"/>
    <w:qFormat/>
    <w:rsid w:val="001C1791"/>
    <w:pPr>
      <w:spacing w:line="259" w:lineRule="auto"/>
    </w:pPr>
    <w:rPr>
      <w:rFonts w:eastAsiaTheme="minorHAnsi"/>
      <w:szCs w:val="22"/>
    </w:rPr>
  </w:style>
  <w:style w:type="character" w:customStyle="1" w:styleId="ChapeauChar">
    <w:name w:val="Chapeau Char"/>
    <w:basedOn w:val="DefaultParagraphFont"/>
    <w:link w:val="Chapeau"/>
    <w:rsid w:val="001C1791"/>
  </w:style>
  <w:style w:type="paragraph" w:customStyle="1" w:styleId="CLauses3">
    <w:name w:val="CLauses 3"/>
    <w:basedOn w:val="Clauses2"/>
    <w:link w:val="CLauses3Char"/>
    <w:qFormat/>
    <w:rsid w:val="001C1791"/>
    <w:pPr>
      <w:ind w:left="1701"/>
    </w:pPr>
    <w:rPr>
      <w:lang w:eastAsia="en-NZ"/>
    </w:rPr>
  </w:style>
  <w:style w:type="character" w:customStyle="1" w:styleId="CLauses3Char">
    <w:name w:val="CLauses 3 Char"/>
    <w:basedOn w:val="Clauses2Char"/>
    <w:link w:val="CLauses3"/>
    <w:rsid w:val="001C1791"/>
    <w:rPr>
      <w:rFonts w:ascii="Calibri" w:hAnsi="Calibri" w:cs="Calibri"/>
      <w:lang w:eastAsia="en-NZ"/>
    </w:rPr>
  </w:style>
  <w:style w:type="paragraph" w:styleId="Revision">
    <w:name w:val="Revision"/>
    <w:hidden/>
    <w:uiPriority w:val="99"/>
    <w:semiHidden/>
    <w:rsid w:val="009A5939"/>
    <w:pPr>
      <w:spacing w:after="0" w:line="240" w:lineRule="auto"/>
    </w:pPr>
    <w:rPr>
      <w:rFonts w:eastAsiaTheme="minorEastAsia"/>
      <w:szCs w:val="21"/>
    </w:rPr>
  </w:style>
  <w:style w:type="paragraph" w:styleId="CommentSubject">
    <w:name w:val="annotation subject"/>
    <w:basedOn w:val="CommentText"/>
    <w:next w:val="CommentText"/>
    <w:link w:val="CommentSubjectChar"/>
    <w:uiPriority w:val="99"/>
    <w:semiHidden/>
    <w:unhideWhenUsed/>
    <w:rsid w:val="005426FE"/>
    <w:rPr>
      <w:b/>
      <w:bCs/>
    </w:rPr>
  </w:style>
  <w:style w:type="character" w:customStyle="1" w:styleId="CommentSubjectChar">
    <w:name w:val="Comment Subject Char"/>
    <w:basedOn w:val="CommentTextChar"/>
    <w:link w:val="CommentSubject"/>
    <w:uiPriority w:val="99"/>
    <w:semiHidden/>
    <w:rsid w:val="005426F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6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49a305-7b07-4317-bde5-150bce7b2c8c" xsi:nil="true"/>
    <lcf76f155ced4ddcb4097134ff3c332f xmlns="cf27507f-fedb-4d15-a0e4-cd26eadbc489">
      <Terms xmlns="http://schemas.microsoft.com/office/infopath/2007/PartnerControls"/>
    </lcf76f155ced4ddcb4097134ff3c332f>
    <Referenced xmlns="cf27507f-fedb-4d15-a0e4-cd26eadbc489">false</Referenced>
    <Topic xmlns="cf27507f-fedb-4d15-a0e4-cd26eadbc489" xsi:nil="true"/>
    <Area xmlns="cf27507f-fedb-4d15-a0e4-cd26eadbc489" xsi:nil="true"/>
    <PubDate xmlns="cf27507f-fedb-4d15-a0e4-cd26eadbc489" xsi:nil="true"/>
    <AddedFMU xmlns="cf27507f-fedb-4d15-a0e4-cd26eadbc489">false</AddedFMU>
    <MovedtoLWRPsection xmlns="cf27507f-fedb-4d15-a0e4-cd26eadbc489">true</MovedtoLWRPsection>
    <Uploaded xmlns="cf27507f-fedb-4d15-a0e4-cd26eadbc489">false</Upload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C4DEB10F34441999A1327FDE083BB" ma:contentTypeVersion="24" ma:contentTypeDescription="Create a new document." ma:contentTypeScope="" ma:versionID="090bc84738910a2d3fab021e87346e45">
  <xsd:schema xmlns:xsd="http://www.w3.org/2001/XMLSchema" xmlns:xs="http://www.w3.org/2001/XMLSchema" xmlns:p="http://schemas.microsoft.com/office/2006/metadata/properties" xmlns:ns2="cf27507f-fedb-4d15-a0e4-cd26eadbc489" xmlns:ns3="4a49a305-7b07-4317-bde5-150bce7b2c8c" targetNamespace="http://schemas.microsoft.com/office/2006/metadata/properties" ma:root="true" ma:fieldsID="91bf416d4a7340a11e3965b611a0b5ed" ns2:_="" ns3:_="">
    <xsd:import namespace="cf27507f-fedb-4d15-a0e4-cd26eadbc489"/>
    <xsd:import namespace="4a49a305-7b07-4317-bde5-150bce7b2c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Area" minOccurs="0"/>
                <xsd:element ref="ns2:Topic" minOccurs="0"/>
                <xsd:element ref="ns2:PubDate" minOccurs="0"/>
                <xsd:element ref="ns2:Uploaded" minOccurs="0"/>
                <xsd:element ref="ns2:MovedtoLWRPsection" minOccurs="0"/>
                <xsd:element ref="ns2:AddedFMU" minOccurs="0"/>
                <xsd:element ref="ns2:Referenc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7507f-fedb-4d15-a0e4-cd26eadbc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Area" ma:index="25" nillable="true" ma:displayName="Area" ma:description="Area that the report is relevant for" ma:format="Dropdown" ma:internalName="Area">
      <xsd:simpleType>
        <xsd:restriction base="dms:Text">
          <xsd:maxLength value="255"/>
        </xsd:restriction>
      </xsd:simpleType>
    </xsd:element>
    <xsd:element name="Topic" ma:index="26" nillable="true" ma:displayName="Topic" ma:description="Science topics of the report" ma:format="Dropdown" ma:internalName="Topic">
      <xsd:simpleType>
        <xsd:restriction base="dms:Note">
          <xsd:maxLength value="255"/>
        </xsd:restriction>
      </xsd:simpleType>
    </xsd:element>
    <xsd:element name="PubDate" ma:index="27" nillable="true" ma:displayName="Pub Date" ma:format="DateOnly" ma:internalName="PubDate">
      <xsd:simpleType>
        <xsd:restriction base="dms:DateTime"/>
      </xsd:simpleType>
    </xsd:element>
    <xsd:element name="Uploaded" ma:index="28" nillable="true" ma:displayName="Uploaded " ma:default="0" ma:format="Dropdown" ma:internalName="Uploaded">
      <xsd:simpleType>
        <xsd:restriction base="dms:Boolean"/>
      </xsd:simpleType>
    </xsd:element>
    <xsd:element name="MovedtoLWRPsection" ma:index="29" nillable="true" ma:displayName="Moved to LWRP section " ma:default="1" ma:format="Dropdown" ma:internalName="MovedtoLWRPsection">
      <xsd:simpleType>
        <xsd:restriction base="dms:Boolean"/>
      </xsd:simpleType>
    </xsd:element>
    <xsd:element name="AddedFMU" ma:index="30" nillable="true" ma:displayName="Added FMU" ma:default="0" ma:format="Dropdown" ma:internalName="AddedFMU">
      <xsd:simpleType>
        <xsd:restriction base="dms:Boolean"/>
      </xsd:simpleType>
    </xsd:element>
    <xsd:element name="Referenced" ma:index="31" nillable="true" ma:displayName="Referenced" ma:default="0" ma:format="Dropdown" ma:internalName="Referenc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49a305-7b07-4317-bde5-150bce7b2c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4bfc52d-eb42-4326-b111-e94bc7d3ebaa}" ma:internalName="TaxCatchAll" ma:showField="CatchAllData" ma:web="4a49a305-7b07-4317-bde5-150bce7b2c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E7C16-2F7E-4954-8156-A62606BAE154}">
  <ds:schemaRefs>
    <ds:schemaRef ds:uri="http://schemas.microsoft.com/office/2006/metadata/properties"/>
    <ds:schemaRef ds:uri="http://schemas.microsoft.com/office/infopath/2007/PartnerControls"/>
    <ds:schemaRef ds:uri="4a49a305-7b07-4317-bde5-150bce7b2c8c"/>
    <ds:schemaRef ds:uri="cf27507f-fedb-4d15-a0e4-cd26eadbc489"/>
  </ds:schemaRefs>
</ds:datastoreItem>
</file>

<file path=customXml/itemProps2.xml><?xml version="1.0" encoding="utf-8"?>
<ds:datastoreItem xmlns:ds="http://schemas.openxmlformats.org/officeDocument/2006/customXml" ds:itemID="{B5EFB3E9-B16B-4AB0-AD17-37D6FAFDD4C8}">
  <ds:schemaRefs>
    <ds:schemaRef ds:uri="http://schemas.microsoft.com/sharepoint/v3/contenttype/forms"/>
  </ds:schemaRefs>
</ds:datastoreItem>
</file>

<file path=customXml/itemProps3.xml><?xml version="1.0" encoding="utf-8"?>
<ds:datastoreItem xmlns:ds="http://schemas.openxmlformats.org/officeDocument/2006/customXml" ds:itemID="{0A73BA65-F143-412C-8030-51C294E68A09}">
  <ds:schemaRefs>
    <ds:schemaRef ds:uri="http://schemas.openxmlformats.org/officeDocument/2006/bibliography"/>
  </ds:schemaRefs>
</ds:datastoreItem>
</file>

<file path=customXml/itemProps4.xml><?xml version="1.0" encoding="utf-8"?>
<ds:datastoreItem xmlns:ds="http://schemas.openxmlformats.org/officeDocument/2006/customXml" ds:itemID="{EB3174C0-581B-41EE-AB39-56B64D547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7507f-fedb-4d15-a0e4-cd26eadbc489"/>
    <ds:schemaRef ds:uri="4a49a305-7b07-4317-bde5-150bce7b2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Boyd</dc:creator>
  <cp:keywords/>
  <dc:description/>
  <cp:lastModifiedBy>Trudi McLaren</cp:lastModifiedBy>
  <cp:revision>2</cp:revision>
  <dcterms:created xsi:type="dcterms:W3CDTF">2024-07-04T02:49:00Z</dcterms:created>
  <dcterms:modified xsi:type="dcterms:W3CDTF">2024-07-04T02:49:00Z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0x0101003B8C4DEB10F34441999A1327FDE083BB</vt:lpwstr>
  </property>
</Properties>
</file>